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77320" w14:textId="79C9A4E0" w:rsidR="00200AAB" w:rsidRPr="00531B86" w:rsidRDefault="00200AAB" w:rsidP="009D6623">
      <w:pPr>
        <w:jc w:val="center"/>
        <w:rPr>
          <w:rFonts w:ascii="Arial" w:hAnsi="Arial" w:cs="Arial"/>
          <w:b/>
          <w:bCs/>
        </w:rPr>
      </w:pPr>
      <w:r w:rsidRPr="00531B86">
        <w:rPr>
          <w:rFonts w:ascii="Arial" w:hAnsi="Arial" w:cs="Arial"/>
          <w:b/>
          <w:bCs/>
          <w:noProof/>
        </w:rPr>
        <w:drawing>
          <wp:inline distT="0" distB="0" distL="0" distR="0" wp14:anchorId="16FED45E" wp14:editId="4925D69E">
            <wp:extent cx="536823" cy="671796"/>
            <wp:effectExtent l="0" t="0" r="0" b="190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954" cy="69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86">
        <w:rPr>
          <w:rFonts w:ascii="Arial" w:hAnsi="Arial" w:cs="Arial"/>
          <w:b/>
          <w:bCs/>
          <w:noProof/>
        </w:rPr>
        <w:drawing>
          <wp:inline distT="0" distB="0" distL="0" distR="0" wp14:anchorId="60B7E89B" wp14:editId="0B06799F">
            <wp:extent cx="1195678" cy="664265"/>
            <wp:effectExtent l="0" t="0" r="0" b="0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851" cy="68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31B86">
        <w:rPr>
          <w:rFonts w:ascii="Arial" w:hAnsi="Arial" w:cs="Arial"/>
          <w:b/>
          <w:bCs/>
          <w:noProof/>
        </w:rPr>
        <w:drawing>
          <wp:inline distT="0" distB="0" distL="0" distR="0" wp14:anchorId="096E8984" wp14:editId="19C23443">
            <wp:extent cx="754041" cy="579285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127" cy="60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4A5" w:rsidRPr="00531B86">
        <w:rPr>
          <w:rFonts w:ascii="Arial" w:hAnsi="Arial" w:cs="Arial"/>
          <w:b/>
          <w:bCs/>
          <w:noProof/>
        </w:rPr>
        <w:drawing>
          <wp:inline distT="0" distB="0" distL="0" distR="0" wp14:anchorId="47C714F1" wp14:editId="3B7B4D39">
            <wp:extent cx="786571" cy="782537"/>
            <wp:effectExtent l="0" t="0" r="127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429" cy="810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32863" w14:textId="12747E1D" w:rsidR="00200AAB" w:rsidRPr="00531B86" w:rsidRDefault="00200AAB" w:rsidP="009D6623">
      <w:pPr>
        <w:jc w:val="center"/>
        <w:rPr>
          <w:rFonts w:ascii="Arial" w:hAnsi="Arial" w:cs="Arial"/>
          <w:b/>
          <w:bCs/>
        </w:rPr>
      </w:pPr>
    </w:p>
    <w:p w14:paraId="1A16DE9A" w14:textId="41B14F70" w:rsidR="00200AAB" w:rsidRPr="00531B86" w:rsidRDefault="00200AAB" w:rsidP="009D6623">
      <w:pPr>
        <w:jc w:val="center"/>
        <w:rPr>
          <w:rFonts w:ascii="Arial" w:hAnsi="Arial" w:cs="Arial"/>
          <w:b/>
          <w:bCs/>
        </w:rPr>
      </w:pPr>
    </w:p>
    <w:p w14:paraId="3B133B55" w14:textId="253AE01C" w:rsidR="00DF0E27" w:rsidRPr="00531B86" w:rsidRDefault="00806960" w:rsidP="00200DA7">
      <w:pPr>
        <w:jc w:val="center"/>
        <w:rPr>
          <w:rFonts w:ascii="Arial" w:hAnsi="Arial" w:cs="Arial"/>
          <w:b/>
          <w:bCs/>
        </w:rPr>
      </w:pPr>
      <w:r w:rsidRPr="00531B86">
        <w:rPr>
          <w:rFonts w:ascii="Arial" w:hAnsi="Arial" w:cs="Arial"/>
          <w:b/>
          <w:bCs/>
        </w:rPr>
        <w:t>P</w:t>
      </w:r>
      <w:r w:rsidR="00E82D83" w:rsidRPr="00531B86">
        <w:rPr>
          <w:rFonts w:ascii="Arial" w:hAnsi="Arial" w:cs="Arial"/>
          <w:b/>
          <w:bCs/>
        </w:rPr>
        <w:t>rop</w:t>
      </w:r>
      <w:r w:rsidRPr="00531B86">
        <w:rPr>
          <w:rFonts w:ascii="Arial" w:hAnsi="Arial" w:cs="Arial"/>
          <w:b/>
          <w:bCs/>
        </w:rPr>
        <w:t xml:space="preserve">ositions du Groupe de Pathologie Infectieuse de la Société Française </w:t>
      </w:r>
      <w:r w:rsidR="00E82D83" w:rsidRPr="00531B86">
        <w:rPr>
          <w:rFonts w:ascii="Arial" w:hAnsi="Arial" w:cs="Arial"/>
          <w:b/>
          <w:bCs/>
        </w:rPr>
        <w:t>de Pédiatrie</w:t>
      </w:r>
      <w:r w:rsidR="00200AAB" w:rsidRPr="00531B86">
        <w:rPr>
          <w:rFonts w:ascii="Arial" w:hAnsi="Arial" w:cs="Arial"/>
          <w:b/>
          <w:bCs/>
        </w:rPr>
        <w:t>, de l’Association Française de Pédiatrie ambulatoire</w:t>
      </w:r>
      <w:r w:rsidR="00531B86">
        <w:rPr>
          <w:rFonts w:ascii="Arial" w:hAnsi="Arial" w:cs="Arial"/>
          <w:b/>
          <w:bCs/>
        </w:rPr>
        <w:t xml:space="preserve"> </w:t>
      </w:r>
      <w:r w:rsidR="00E82D83" w:rsidRPr="00531B86">
        <w:rPr>
          <w:rFonts w:ascii="Arial" w:hAnsi="Arial" w:cs="Arial"/>
          <w:b/>
          <w:bCs/>
        </w:rPr>
        <w:t>et de la Société Française de Pathologie Infectieuse de Langue Française</w:t>
      </w:r>
      <w:r w:rsidR="00531B86">
        <w:rPr>
          <w:rFonts w:ascii="Arial" w:hAnsi="Arial" w:cs="Arial"/>
          <w:b/>
          <w:bCs/>
        </w:rPr>
        <w:t xml:space="preserve"> </w:t>
      </w:r>
      <w:r w:rsidR="00C658D8" w:rsidRPr="00531B86">
        <w:rPr>
          <w:rFonts w:ascii="Arial" w:hAnsi="Arial" w:cs="Arial"/>
          <w:b/>
          <w:bCs/>
        </w:rPr>
        <w:t xml:space="preserve">face aux </w:t>
      </w:r>
      <w:r w:rsidR="00200DA7" w:rsidRPr="00531B86">
        <w:rPr>
          <w:rFonts w:ascii="Arial" w:hAnsi="Arial" w:cs="Arial"/>
          <w:b/>
          <w:bCs/>
        </w:rPr>
        <w:t xml:space="preserve">fortes tensions d’approvisionnement </w:t>
      </w:r>
      <w:r w:rsidR="00C658D8" w:rsidRPr="00531B86">
        <w:rPr>
          <w:rFonts w:ascii="Arial" w:hAnsi="Arial" w:cs="Arial"/>
          <w:b/>
          <w:bCs/>
        </w:rPr>
        <w:t xml:space="preserve">des formes </w:t>
      </w:r>
      <w:r w:rsidR="0049630E" w:rsidRPr="00531B86">
        <w:rPr>
          <w:rFonts w:ascii="Arial" w:hAnsi="Arial" w:cs="Arial"/>
          <w:b/>
          <w:bCs/>
        </w:rPr>
        <w:t>p</w:t>
      </w:r>
      <w:r w:rsidR="00C658D8" w:rsidRPr="00531B86">
        <w:rPr>
          <w:rFonts w:ascii="Arial" w:hAnsi="Arial" w:cs="Arial"/>
          <w:b/>
          <w:bCs/>
        </w:rPr>
        <w:t xml:space="preserve">édiatriques </w:t>
      </w:r>
      <w:r w:rsidR="00200AAB" w:rsidRPr="00531B86">
        <w:rPr>
          <w:rFonts w:ascii="Arial" w:hAnsi="Arial" w:cs="Arial"/>
          <w:b/>
          <w:bCs/>
        </w:rPr>
        <w:t xml:space="preserve">orales </w:t>
      </w:r>
      <w:r w:rsidR="0049630E" w:rsidRPr="00531B86">
        <w:rPr>
          <w:rFonts w:ascii="Arial" w:hAnsi="Arial" w:cs="Arial"/>
          <w:b/>
          <w:bCs/>
        </w:rPr>
        <w:t>d’amoxicilline et d’amoxicilline-acide clavulanique</w:t>
      </w:r>
    </w:p>
    <w:p w14:paraId="538998EC" w14:textId="77777777" w:rsidR="00806960" w:rsidRPr="00531B86" w:rsidRDefault="00806960" w:rsidP="0049630E">
      <w:pPr>
        <w:jc w:val="center"/>
        <w:rPr>
          <w:rFonts w:ascii="Arial" w:hAnsi="Arial" w:cs="Arial"/>
          <w:b/>
          <w:bCs/>
        </w:rPr>
      </w:pPr>
    </w:p>
    <w:p w14:paraId="6DD5AB88" w14:textId="32556956" w:rsidR="00E82D83" w:rsidRPr="00531B86" w:rsidRDefault="00D44FC9" w:rsidP="002C5916">
      <w:pPr>
        <w:jc w:val="both"/>
        <w:rPr>
          <w:rFonts w:ascii="Arial" w:hAnsi="Arial" w:cs="Arial"/>
          <w:sz w:val="22"/>
          <w:szCs w:val="22"/>
        </w:rPr>
      </w:pPr>
      <w:r w:rsidRPr="00531B86">
        <w:rPr>
          <w:rFonts w:ascii="Arial" w:hAnsi="Arial" w:cs="Arial"/>
          <w:sz w:val="22"/>
          <w:szCs w:val="22"/>
        </w:rPr>
        <w:t>L</w:t>
      </w:r>
      <w:r w:rsidR="00237116" w:rsidRPr="00531B86">
        <w:rPr>
          <w:rFonts w:ascii="Arial" w:hAnsi="Arial" w:cs="Arial"/>
          <w:sz w:val="22"/>
          <w:szCs w:val="22"/>
        </w:rPr>
        <w:t xml:space="preserve">es fortes tensions d’approvisionnement </w:t>
      </w:r>
      <w:r w:rsidRPr="00531B86">
        <w:rPr>
          <w:rFonts w:ascii="Arial" w:hAnsi="Arial" w:cs="Arial"/>
          <w:sz w:val="22"/>
          <w:szCs w:val="22"/>
        </w:rPr>
        <w:t xml:space="preserve">des formes pédiatriques d’amoxicilline et d’amoxicilline-acide clavulanique </w:t>
      </w:r>
      <w:r w:rsidR="00D924AE" w:rsidRPr="00531B86">
        <w:rPr>
          <w:rFonts w:ascii="Arial" w:hAnsi="Arial" w:cs="Arial"/>
          <w:b/>
          <w:bCs/>
          <w:i/>
          <w:iCs/>
          <w:sz w:val="22"/>
          <w:szCs w:val="22"/>
        </w:rPr>
        <w:t>retenti</w:t>
      </w:r>
      <w:r w:rsidR="003C0C36">
        <w:rPr>
          <w:rFonts w:ascii="Arial" w:hAnsi="Arial" w:cs="Arial"/>
          <w:b/>
          <w:bCs/>
          <w:i/>
          <w:iCs/>
          <w:sz w:val="22"/>
          <w:szCs w:val="22"/>
        </w:rPr>
        <w:t>ssent</w:t>
      </w:r>
      <w:r w:rsidR="00D924AE" w:rsidRPr="00531B86">
        <w:rPr>
          <w:rFonts w:ascii="Arial" w:hAnsi="Arial" w:cs="Arial"/>
          <w:b/>
          <w:bCs/>
          <w:i/>
          <w:iCs/>
          <w:sz w:val="22"/>
          <w:szCs w:val="22"/>
        </w:rPr>
        <w:t xml:space="preserve"> sur la disponibilité de l’ensemble des formes orales d’antibiotiques</w:t>
      </w:r>
      <w:r w:rsidR="00D924AE" w:rsidRPr="00531B86">
        <w:rPr>
          <w:rFonts w:ascii="Arial" w:hAnsi="Arial" w:cs="Arial"/>
          <w:sz w:val="22"/>
          <w:szCs w:val="22"/>
        </w:rPr>
        <w:t>. En effet, ces deux antibiotiques représentaient</w:t>
      </w:r>
      <w:r w:rsidR="00C94C3E" w:rsidRPr="00531B86">
        <w:rPr>
          <w:rFonts w:ascii="Arial" w:hAnsi="Arial" w:cs="Arial"/>
          <w:sz w:val="22"/>
          <w:szCs w:val="22"/>
        </w:rPr>
        <w:t>,</w:t>
      </w:r>
      <w:r w:rsidR="00D924AE" w:rsidRPr="00531B86">
        <w:rPr>
          <w:rFonts w:ascii="Arial" w:hAnsi="Arial" w:cs="Arial"/>
          <w:sz w:val="22"/>
          <w:szCs w:val="22"/>
        </w:rPr>
        <w:t xml:space="preserve"> </w:t>
      </w:r>
      <w:r w:rsidR="00277BF8" w:rsidRPr="00531B86">
        <w:rPr>
          <w:rFonts w:ascii="Arial" w:hAnsi="Arial" w:cs="Arial"/>
          <w:sz w:val="22"/>
          <w:szCs w:val="22"/>
        </w:rPr>
        <w:t>avant la pénurie</w:t>
      </w:r>
      <w:r w:rsidR="009D6623" w:rsidRPr="00531B86">
        <w:rPr>
          <w:rFonts w:ascii="Arial" w:hAnsi="Arial" w:cs="Arial"/>
          <w:sz w:val="22"/>
          <w:szCs w:val="22"/>
        </w:rPr>
        <w:t>,</w:t>
      </w:r>
      <w:r w:rsidR="00277BF8" w:rsidRPr="00531B86">
        <w:rPr>
          <w:rFonts w:ascii="Arial" w:hAnsi="Arial" w:cs="Arial"/>
          <w:sz w:val="22"/>
          <w:szCs w:val="22"/>
        </w:rPr>
        <w:t xml:space="preserve"> </w:t>
      </w:r>
      <w:r w:rsidR="00D924AE" w:rsidRPr="00531B86">
        <w:rPr>
          <w:rFonts w:ascii="Arial" w:hAnsi="Arial" w:cs="Arial"/>
          <w:sz w:val="22"/>
          <w:szCs w:val="22"/>
        </w:rPr>
        <w:t xml:space="preserve">60 à 75 % des prescriptions. Les stocks disponibles limités </w:t>
      </w:r>
      <w:r w:rsidR="00E82D83" w:rsidRPr="00531B86">
        <w:rPr>
          <w:rFonts w:ascii="Arial" w:hAnsi="Arial" w:cs="Arial"/>
          <w:sz w:val="22"/>
          <w:szCs w:val="22"/>
        </w:rPr>
        <w:t xml:space="preserve">des autres antibiotiques </w:t>
      </w:r>
      <w:r w:rsidR="00D924AE" w:rsidRPr="00531B86">
        <w:rPr>
          <w:rFonts w:ascii="Arial" w:hAnsi="Arial" w:cs="Arial"/>
          <w:sz w:val="22"/>
          <w:szCs w:val="22"/>
        </w:rPr>
        <w:t xml:space="preserve">et les reports des prescriptions déjà observés </w:t>
      </w:r>
      <w:r w:rsidR="00850C7D" w:rsidRPr="00531B86">
        <w:rPr>
          <w:rFonts w:ascii="Arial" w:hAnsi="Arial" w:cs="Arial"/>
          <w:sz w:val="22"/>
          <w:szCs w:val="22"/>
        </w:rPr>
        <w:t xml:space="preserve">(effet domino) </w:t>
      </w:r>
      <w:r w:rsidR="00277BF8" w:rsidRPr="00531B86">
        <w:rPr>
          <w:rFonts w:ascii="Arial" w:hAnsi="Arial" w:cs="Arial"/>
          <w:sz w:val="22"/>
          <w:szCs w:val="22"/>
        </w:rPr>
        <w:t xml:space="preserve">font que </w:t>
      </w:r>
      <w:r w:rsidR="009D6623" w:rsidRPr="00531B86">
        <w:rPr>
          <w:rFonts w:ascii="Arial" w:hAnsi="Arial" w:cs="Arial"/>
          <w:sz w:val="22"/>
          <w:szCs w:val="22"/>
        </w:rPr>
        <w:t>l’insuffisance</w:t>
      </w:r>
      <w:r w:rsidR="00850C7D" w:rsidRPr="00531B86">
        <w:rPr>
          <w:rFonts w:ascii="Arial" w:hAnsi="Arial" w:cs="Arial"/>
          <w:sz w:val="22"/>
          <w:szCs w:val="22"/>
        </w:rPr>
        <w:t xml:space="preserve"> s’est propagée à</w:t>
      </w:r>
      <w:r w:rsidR="00806960" w:rsidRPr="00531B86">
        <w:rPr>
          <w:rFonts w:ascii="Arial" w:hAnsi="Arial" w:cs="Arial"/>
          <w:sz w:val="22"/>
          <w:szCs w:val="22"/>
        </w:rPr>
        <w:t xml:space="preserve"> de très nombreuses </w:t>
      </w:r>
      <w:r w:rsidR="00850C7D" w:rsidRPr="00531B86">
        <w:rPr>
          <w:rFonts w:ascii="Arial" w:hAnsi="Arial" w:cs="Arial"/>
          <w:sz w:val="22"/>
          <w:szCs w:val="22"/>
        </w:rPr>
        <w:t>formes pédiatriques</w:t>
      </w:r>
      <w:r w:rsidR="00E72D4C" w:rsidRPr="00531B86">
        <w:rPr>
          <w:rFonts w:ascii="Arial" w:hAnsi="Arial" w:cs="Arial"/>
          <w:sz w:val="22"/>
          <w:szCs w:val="22"/>
        </w:rPr>
        <w:t xml:space="preserve"> d’autres antibiotiques</w:t>
      </w:r>
      <w:r w:rsidR="00806960" w:rsidRPr="00531B86">
        <w:rPr>
          <w:rFonts w:ascii="Arial" w:hAnsi="Arial" w:cs="Arial"/>
          <w:sz w:val="22"/>
          <w:szCs w:val="22"/>
        </w:rPr>
        <w:t xml:space="preserve">. De plus, </w:t>
      </w:r>
      <w:r w:rsidR="002F01E9" w:rsidRPr="00531B86">
        <w:rPr>
          <w:rFonts w:ascii="Arial" w:hAnsi="Arial" w:cs="Arial"/>
          <w:sz w:val="22"/>
          <w:szCs w:val="22"/>
        </w:rPr>
        <w:t>les faibles parts de marché occupé</w:t>
      </w:r>
      <w:r w:rsidR="009D6623" w:rsidRPr="00531B86">
        <w:rPr>
          <w:rFonts w:ascii="Arial" w:hAnsi="Arial" w:cs="Arial"/>
          <w:sz w:val="22"/>
          <w:szCs w:val="22"/>
        </w:rPr>
        <w:t xml:space="preserve">es par ces </w:t>
      </w:r>
      <w:r w:rsidR="00C94C3E" w:rsidRPr="00531B86">
        <w:rPr>
          <w:rFonts w:ascii="Arial" w:hAnsi="Arial" w:cs="Arial"/>
          <w:sz w:val="22"/>
          <w:szCs w:val="22"/>
        </w:rPr>
        <w:t xml:space="preserve">derniers </w:t>
      </w:r>
      <w:r w:rsidR="002F01E9" w:rsidRPr="00531B86">
        <w:rPr>
          <w:rFonts w:ascii="Arial" w:hAnsi="Arial" w:cs="Arial"/>
          <w:sz w:val="22"/>
          <w:szCs w:val="22"/>
        </w:rPr>
        <w:t xml:space="preserve">avant la crise, </w:t>
      </w:r>
      <w:r w:rsidR="00D924AE" w:rsidRPr="00531B86">
        <w:rPr>
          <w:rFonts w:ascii="Arial" w:hAnsi="Arial" w:cs="Arial"/>
          <w:sz w:val="22"/>
          <w:szCs w:val="22"/>
        </w:rPr>
        <w:t xml:space="preserve">vont </w:t>
      </w:r>
      <w:r w:rsidR="00C94C3E" w:rsidRPr="00531B86">
        <w:rPr>
          <w:rFonts w:ascii="Arial" w:hAnsi="Arial" w:cs="Arial"/>
          <w:sz w:val="22"/>
          <w:szCs w:val="22"/>
        </w:rPr>
        <w:t xml:space="preserve">vraisemblablement </w:t>
      </w:r>
      <w:r w:rsidR="00CE621D" w:rsidRPr="00531B86">
        <w:rPr>
          <w:rFonts w:ascii="Arial" w:hAnsi="Arial" w:cs="Arial"/>
          <w:sz w:val="22"/>
          <w:szCs w:val="22"/>
        </w:rPr>
        <w:t>étendre la</w:t>
      </w:r>
      <w:r w:rsidR="00C94C3E" w:rsidRPr="00531B86">
        <w:rPr>
          <w:rFonts w:ascii="Arial" w:hAnsi="Arial" w:cs="Arial"/>
          <w:sz w:val="22"/>
          <w:szCs w:val="22"/>
        </w:rPr>
        <w:t xml:space="preserve"> pénurie </w:t>
      </w:r>
      <w:r w:rsidR="00CE621D" w:rsidRPr="00531B86">
        <w:rPr>
          <w:rFonts w:ascii="Arial" w:hAnsi="Arial" w:cs="Arial"/>
          <w:sz w:val="22"/>
          <w:szCs w:val="22"/>
        </w:rPr>
        <w:t>à</w:t>
      </w:r>
      <w:r w:rsidR="00C94C3E" w:rsidRPr="00531B86">
        <w:rPr>
          <w:rFonts w:ascii="Arial" w:hAnsi="Arial" w:cs="Arial"/>
          <w:sz w:val="22"/>
          <w:szCs w:val="22"/>
        </w:rPr>
        <w:t xml:space="preserve"> </w:t>
      </w:r>
      <w:r w:rsidR="00806960" w:rsidRPr="00531B86">
        <w:rPr>
          <w:rFonts w:ascii="Arial" w:hAnsi="Arial" w:cs="Arial"/>
          <w:sz w:val="22"/>
          <w:szCs w:val="22"/>
        </w:rPr>
        <w:t>l’ensemble des formes pédiatriques</w:t>
      </w:r>
      <w:r w:rsidR="00C94C3E" w:rsidRPr="00531B86">
        <w:rPr>
          <w:rFonts w:ascii="Arial" w:hAnsi="Arial" w:cs="Arial"/>
          <w:sz w:val="22"/>
          <w:szCs w:val="22"/>
        </w:rPr>
        <w:t xml:space="preserve"> </w:t>
      </w:r>
      <w:r w:rsidR="00CE621D" w:rsidRPr="00531B86">
        <w:rPr>
          <w:rFonts w:ascii="Arial" w:hAnsi="Arial" w:cs="Arial"/>
          <w:sz w:val="22"/>
          <w:szCs w:val="22"/>
        </w:rPr>
        <w:t xml:space="preserve">(incluant </w:t>
      </w:r>
      <w:r w:rsidR="006628DD" w:rsidRPr="00531B86">
        <w:rPr>
          <w:rFonts w:ascii="Arial" w:hAnsi="Arial" w:cs="Arial"/>
          <w:sz w:val="22"/>
          <w:szCs w:val="22"/>
        </w:rPr>
        <w:t xml:space="preserve">pénicilline V, </w:t>
      </w:r>
      <w:r w:rsidR="00CE621D" w:rsidRPr="00531B86">
        <w:rPr>
          <w:rFonts w:ascii="Arial" w:hAnsi="Arial" w:cs="Arial"/>
          <w:sz w:val="22"/>
          <w:szCs w:val="22"/>
        </w:rPr>
        <w:t xml:space="preserve">et </w:t>
      </w:r>
      <w:r w:rsidR="006628DD" w:rsidRPr="00531B86">
        <w:rPr>
          <w:rFonts w:ascii="Arial" w:hAnsi="Arial" w:cs="Arial"/>
          <w:sz w:val="22"/>
          <w:szCs w:val="22"/>
        </w:rPr>
        <w:t>macrolides</w:t>
      </w:r>
      <w:r w:rsidR="00CE621D" w:rsidRPr="00531B86">
        <w:rPr>
          <w:rFonts w:ascii="Arial" w:hAnsi="Arial" w:cs="Arial"/>
          <w:sz w:val="22"/>
          <w:szCs w:val="22"/>
        </w:rPr>
        <w:t xml:space="preserve"> : </w:t>
      </w:r>
      <w:r w:rsidR="00024AB9" w:rsidRPr="00531B86">
        <w:rPr>
          <w:rFonts w:ascii="Arial" w:hAnsi="Arial" w:cs="Arial"/>
          <w:sz w:val="22"/>
          <w:szCs w:val="22"/>
        </w:rPr>
        <w:t>azithromycine, clarithromycine</w:t>
      </w:r>
      <w:r w:rsidR="00C94C3E" w:rsidRPr="00531B86">
        <w:rPr>
          <w:rFonts w:ascii="Arial" w:hAnsi="Arial" w:cs="Arial"/>
          <w:sz w:val="22"/>
          <w:szCs w:val="22"/>
        </w:rPr>
        <w:t>), avec</w:t>
      </w:r>
      <w:r w:rsidR="003164A5" w:rsidRPr="00531B86">
        <w:rPr>
          <w:rFonts w:ascii="Arial" w:hAnsi="Arial" w:cs="Arial"/>
          <w:sz w:val="22"/>
          <w:szCs w:val="22"/>
        </w:rPr>
        <w:t xml:space="preserve"> </w:t>
      </w:r>
      <w:r w:rsidR="00C94C3E" w:rsidRPr="00531B86">
        <w:rPr>
          <w:rFonts w:ascii="Arial" w:hAnsi="Arial" w:cs="Arial"/>
          <w:sz w:val="22"/>
          <w:szCs w:val="22"/>
        </w:rPr>
        <w:t>un impact sur</w:t>
      </w:r>
      <w:r w:rsidR="00806960" w:rsidRPr="00531B86">
        <w:rPr>
          <w:rFonts w:ascii="Arial" w:hAnsi="Arial" w:cs="Arial"/>
          <w:sz w:val="22"/>
          <w:szCs w:val="22"/>
        </w:rPr>
        <w:t xml:space="preserve"> </w:t>
      </w:r>
      <w:r w:rsidR="00806960" w:rsidRPr="00531B86">
        <w:rPr>
          <w:rFonts w:ascii="Arial" w:hAnsi="Arial" w:cs="Arial"/>
          <w:b/>
          <w:bCs/>
          <w:i/>
          <w:iCs/>
          <w:sz w:val="22"/>
          <w:szCs w:val="22"/>
        </w:rPr>
        <w:t xml:space="preserve">des pathologies </w:t>
      </w:r>
      <w:r w:rsidR="00C94C3E" w:rsidRPr="00531B86">
        <w:rPr>
          <w:rFonts w:ascii="Arial" w:hAnsi="Arial" w:cs="Arial"/>
          <w:b/>
          <w:bCs/>
          <w:i/>
          <w:iCs/>
          <w:sz w:val="22"/>
          <w:szCs w:val="22"/>
        </w:rPr>
        <w:t>ne nécessitant pas de traitement par</w:t>
      </w:r>
      <w:r w:rsidR="00C94C3E" w:rsidRPr="00531B86">
        <w:rPr>
          <w:rFonts w:ascii="Arial" w:hAnsi="Arial" w:cs="Arial"/>
          <w:sz w:val="22"/>
          <w:szCs w:val="22"/>
        </w:rPr>
        <w:t xml:space="preserve"> </w:t>
      </w:r>
      <w:r w:rsidR="00024AB9" w:rsidRPr="00531B86">
        <w:rPr>
          <w:rFonts w:ascii="Arial" w:hAnsi="Arial" w:cs="Arial"/>
          <w:sz w:val="22"/>
          <w:szCs w:val="22"/>
        </w:rPr>
        <w:t>amoxicilline</w:t>
      </w:r>
      <w:r w:rsidR="000431A6" w:rsidRPr="00531B86">
        <w:rPr>
          <w:rFonts w:ascii="Arial" w:hAnsi="Arial" w:cs="Arial"/>
          <w:sz w:val="22"/>
          <w:szCs w:val="22"/>
        </w:rPr>
        <w:t xml:space="preserve"> </w:t>
      </w:r>
      <w:r w:rsidR="00E82D83" w:rsidRPr="00531B86">
        <w:rPr>
          <w:rFonts w:ascii="Arial" w:hAnsi="Arial" w:cs="Arial"/>
          <w:sz w:val="22"/>
          <w:szCs w:val="22"/>
        </w:rPr>
        <w:t xml:space="preserve">: infections urinaires, relais </w:t>
      </w:r>
      <w:r w:rsidR="00C94C3E" w:rsidRPr="00531B86">
        <w:rPr>
          <w:rFonts w:ascii="Arial" w:hAnsi="Arial" w:cs="Arial"/>
          <w:sz w:val="22"/>
          <w:szCs w:val="22"/>
        </w:rPr>
        <w:t xml:space="preserve">oraux </w:t>
      </w:r>
      <w:r w:rsidR="00E82D83" w:rsidRPr="00531B86">
        <w:rPr>
          <w:rFonts w:ascii="Arial" w:hAnsi="Arial" w:cs="Arial"/>
          <w:sz w:val="22"/>
          <w:szCs w:val="22"/>
        </w:rPr>
        <w:t>d’infections graves traitées initialement par des formes parentérales</w:t>
      </w:r>
      <w:r w:rsidR="0049630E" w:rsidRPr="00531B86">
        <w:rPr>
          <w:rFonts w:ascii="Arial" w:hAnsi="Arial" w:cs="Arial"/>
          <w:sz w:val="22"/>
          <w:szCs w:val="22"/>
        </w:rPr>
        <w:t>…</w:t>
      </w:r>
    </w:p>
    <w:p w14:paraId="3DA156CE" w14:textId="1D73F828" w:rsidR="0049630E" w:rsidRPr="00531B86" w:rsidRDefault="00277BF8" w:rsidP="002C5916">
      <w:pPr>
        <w:jc w:val="both"/>
        <w:rPr>
          <w:rFonts w:ascii="Arial" w:hAnsi="Arial" w:cs="Arial"/>
          <w:sz w:val="22"/>
          <w:szCs w:val="22"/>
        </w:rPr>
      </w:pPr>
      <w:r w:rsidRPr="00531B86">
        <w:rPr>
          <w:rFonts w:ascii="Arial" w:hAnsi="Arial" w:cs="Arial"/>
          <w:sz w:val="22"/>
          <w:szCs w:val="22"/>
        </w:rPr>
        <w:t xml:space="preserve">Le premier message est </w:t>
      </w:r>
      <w:r w:rsidR="00C94C3E" w:rsidRPr="00531B86">
        <w:rPr>
          <w:rFonts w:ascii="Arial" w:hAnsi="Arial" w:cs="Arial"/>
          <w:sz w:val="22"/>
          <w:szCs w:val="22"/>
        </w:rPr>
        <w:t xml:space="preserve">donc </w:t>
      </w:r>
      <w:r w:rsidRPr="00531B86">
        <w:rPr>
          <w:rFonts w:ascii="Arial" w:hAnsi="Arial" w:cs="Arial"/>
          <w:sz w:val="22"/>
          <w:szCs w:val="22"/>
        </w:rPr>
        <w:t xml:space="preserve">de 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>limiter strictement</w:t>
      </w:r>
      <w:r w:rsidRPr="00531B86">
        <w:rPr>
          <w:rFonts w:ascii="Arial" w:hAnsi="Arial" w:cs="Arial"/>
          <w:sz w:val="22"/>
          <w:szCs w:val="22"/>
        </w:rPr>
        <w:t xml:space="preserve"> 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>les prescriptions</w:t>
      </w:r>
      <w:r w:rsidRPr="00531B86">
        <w:rPr>
          <w:rFonts w:ascii="Arial" w:hAnsi="Arial" w:cs="Arial"/>
          <w:sz w:val="22"/>
          <w:szCs w:val="22"/>
        </w:rPr>
        <w:t xml:space="preserve"> aux 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>indications des recommandations officielles</w:t>
      </w:r>
      <w:r w:rsidR="009825C8" w:rsidRPr="00531B86">
        <w:rPr>
          <w:rFonts w:ascii="Arial" w:hAnsi="Arial" w:cs="Arial"/>
          <w:b/>
          <w:bCs/>
          <w:i/>
          <w:iCs/>
          <w:sz w:val="22"/>
          <w:szCs w:val="22"/>
        </w:rPr>
        <w:t xml:space="preserve"> chez l’enfant comme chez l’adulte</w:t>
      </w:r>
      <w:r w:rsidR="00E82D83" w:rsidRPr="00531B86">
        <w:rPr>
          <w:rFonts w:ascii="Arial" w:hAnsi="Arial" w:cs="Arial"/>
          <w:i/>
          <w:iCs/>
          <w:sz w:val="22"/>
          <w:szCs w:val="22"/>
        </w:rPr>
        <w:t>.</w:t>
      </w:r>
      <w:r w:rsidR="00E82D83" w:rsidRPr="00531B86">
        <w:rPr>
          <w:rFonts w:ascii="Arial" w:hAnsi="Arial" w:cs="Arial"/>
          <w:sz w:val="22"/>
          <w:szCs w:val="22"/>
        </w:rPr>
        <w:t xml:space="preserve"> </w:t>
      </w:r>
      <w:r w:rsidR="00C94C3E" w:rsidRPr="00531B86">
        <w:rPr>
          <w:rFonts w:ascii="Arial" w:hAnsi="Arial" w:cs="Arial"/>
          <w:sz w:val="22"/>
          <w:szCs w:val="22"/>
        </w:rPr>
        <w:t>En effet</w:t>
      </w:r>
      <w:r w:rsidRPr="00531B86">
        <w:rPr>
          <w:rFonts w:ascii="Arial" w:hAnsi="Arial" w:cs="Arial"/>
          <w:sz w:val="22"/>
          <w:szCs w:val="22"/>
        </w:rPr>
        <w:t xml:space="preserve">, </w:t>
      </w:r>
      <w:r w:rsidR="003164A5" w:rsidRPr="00531B86">
        <w:rPr>
          <w:rFonts w:ascii="Arial" w:hAnsi="Arial" w:cs="Arial"/>
          <w:sz w:val="22"/>
          <w:szCs w:val="22"/>
        </w:rPr>
        <w:t xml:space="preserve">les </w:t>
      </w:r>
      <w:r w:rsidRPr="00531B86">
        <w:rPr>
          <w:rFonts w:ascii="Arial" w:hAnsi="Arial" w:cs="Arial"/>
          <w:sz w:val="22"/>
          <w:szCs w:val="22"/>
        </w:rPr>
        <w:t xml:space="preserve">situations cliniques ne justifiant pas d’antibiotique représentent la majorité des prescriptions en France : </w:t>
      </w:r>
      <w:r w:rsidR="00E82D83" w:rsidRPr="00531B86">
        <w:rPr>
          <w:rFonts w:ascii="Arial" w:hAnsi="Arial" w:cs="Arial"/>
          <w:sz w:val="22"/>
          <w:szCs w:val="22"/>
        </w:rPr>
        <w:t>b</w:t>
      </w:r>
      <w:r w:rsidRPr="00531B86">
        <w:rPr>
          <w:rFonts w:ascii="Arial" w:hAnsi="Arial" w:cs="Arial"/>
          <w:sz w:val="22"/>
          <w:szCs w:val="22"/>
        </w:rPr>
        <w:t>ronchite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rhinopharyngite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laryngite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bronchiolite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angine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sans TDR positif (TDR négatif ou non fait), otite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congestive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otite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séreuse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>, suspicion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d’otite non confirmée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par l’otoscopie, </w:t>
      </w:r>
      <w:r w:rsidR="007A5F27" w:rsidRPr="00531B86">
        <w:rPr>
          <w:rFonts w:ascii="Arial" w:hAnsi="Arial" w:cs="Arial"/>
          <w:sz w:val="22"/>
          <w:szCs w:val="22"/>
        </w:rPr>
        <w:t xml:space="preserve">syndrome grippaux ou COVID, </w:t>
      </w:r>
      <w:r w:rsidR="00E82D83" w:rsidRPr="00531B86">
        <w:rPr>
          <w:rFonts w:ascii="Arial" w:hAnsi="Arial" w:cs="Arial"/>
          <w:sz w:val="22"/>
          <w:szCs w:val="22"/>
        </w:rPr>
        <w:t>fièvre sans point d’appel</w:t>
      </w:r>
      <w:r w:rsidR="009825C8" w:rsidRPr="00531B86">
        <w:rPr>
          <w:rFonts w:ascii="Arial" w:hAnsi="Arial" w:cs="Arial"/>
          <w:sz w:val="22"/>
          <w:szCs w:val="22"/>
        </w:rPr>
        <w:t xml:space="preserve"> </w:t>
      </w:r>
      <w:r w:rsidR="003164A5" w:rsidRPr="00531B86">
        <w:rPr>
          <w:rFonts w:ascii="Arial" w:hAnsi="Arial" w:cs="Arial"/>
          <w:sz w:val="22"/>
          <w:szCs w:val="22"/>
        </w:rPr>
        <w:t>(</w:t>
      </w:r>
      <w:r w:rsidR="009825C8" w:rsidRPr="00531B86">
        <w:rPr>
          <w:rFonts w:ascii="Arial" w:hAnsi="Arial" w:cs="Arial"/>
          <w:sz w:val="22"/>
          <w:szCs w:val="22"/>
        </w:rPr>
        <w:t>hors pathologie chronique</w:t>
      </w:r>
      <w:r w:rsidR="003164A5" w:rsidRPr="00531B86">
        <w:rPr>
          <w:rFonts w:ascii="Arial" w:hAnsi="Arial" w:cs="Arial"/>
          <w:sz w:val="22"/>
          <w:szCs w:val="22"/>
        </w:rPr>
        <w:t>)</w:t>
      </w:r>
      <w:r w:rsidR="00E82D83" w:rsidRPr="00531B86">
        <w:rPr>
          <w:rFonts w:ascii="Arial" w:hAnsi="Arial" w:cs="Arial"/>
          <w:sz w:val="22"/>
          <w:szCs w:val="22"/>
        </w:rPr>
        <w:t xml:space="preserve">, </w:t>
      </w:r>
      <w:r w:rsidR="00C94C3E" w:rsidRPr="00531B86">
        <w:rPr>
          <w:rFonts w:ascii="Arial" w:hAnsi="Arial" w:cs="Arial"/>
          <w:sz w:val="22"/>
          <w:szCs w:val="22"/>
        </w:rPr>
        <w:t>impétigos</w:t>
      </w:r>
      <w:r w:rsidRPr="00531B86">
        <w:rPr>
          <w:rFonts w:ascii="Arial" w:hAnsi="Arial" w:cs="Arial"/>
          <w:sz w:val="22"/>
          <w:szCs w:val="22"/>
        </w:rPr>
        <w:t xml:space="preserve"> non étendu, furoncles, quasi-totalité des infections digestives</w:t>
      </w:r>
      <w:r w:rsidR="0049630E" w:rsidRPr="00531B86">
        <w:rPr>
          <w:rFonts w:ascii="Arial" w:hAnsi="Arial" w:cs="Arial"/>
          <w:sz w:val="22"/>
          <w:szCs w:val="22"/>
        </w:rPr>
        <w:t>…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 xml:space="preserve">En période de pénurie, ces prescriptions </w:t>
      </w:r>
      <w:r w:rsidR="00200AAB" w:rsidRPr="00531B86">
        <w:rPr>
          <w:rFonts w:ascii="Arial" w:hAnsi="Arial" w:cs="Arial"/>
          <w:b/>
          <w:bCs/>
          <w:i/>
          <w:iCs/>
          <w:sz w:val="22"/>
          <w:szCs w:val="22"/>
        </w:rPr>
        <w:t xml:space="preserve">inutiles 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>ne sont plus admissibles.</w:t>
      </w:r>
    </w:p>
    <w:p w14:paraId="2246AABB" w14:textId="4B502F37" w:rsidR="0049630E" w:rsidRPr="00531B86" w:rsidRDefault="00277BF8" w:rsidP="002C5916">
      <w:pPr>
        <w:jc w:val="both"/>
        <w:rPr>
          <w:rFonts w:ascii="Arial" w:hAnsi="Arial" w:cs="Arial"/>
          <w:sz w:val="22"/>
          <w:szCs w:val="22"/>
        </w:rPr>
      </w:pPr>
      <w:r w:rsidRPr="00531B86">
        <w:rPr>
          <w:rFonts w:ascii="Arial" w:hAnsi="Arial" w:cs="Arial"/>
          <w:sz w:val="22"/>
          <w:szCs w:val="22"/>
        </w:rPr>
        <w:t xml:space="preserve">Le </w:t>
      </w:r>
      <w:r w:rsidR="00C94C3E" w:rsidRPr="00531B86">
        <w:rPr>
          <w:rFonts w:ascii="Arial" w:hAnsi="Arial" w:cs="Arial"/>
          <w:sz w:val="22"/>
          <w:szCs w:val="22"/>
        </w:rPr>
        <w:t xml:space="preserve">second </w:t>
      </w:r>
      <w:r w:rsidR="00E82D83" w:rsidRPr="00531B86">
        <w:rPr>
          <w:rFonts w:ascii="Arial" w:hAnsi="Arial" w:cs="Arial"/>
          <w:sz w:val="22"/>
          <w:szCs w:val="22"/>
        </w:rPr>
        <w:t xml:space="preserve">message est le </w:t>
      </w:r>
      <w:r w:rsidRPr="00531B86">
        <w:rPr>
          <w:rFonts w:ascii="Arial" w:hAnsi="Arial" w:cs="Arial"/>
          <w:b/>
          <w:bCs/>
          <w:i/>
          <w:iCs/>
          <w:sz w:val="22"/>
          <w:szCs w:val="22"/>
        </w:rPr>
        <w:t>raccourcissement des durées de traitement</w:t>
      </w:r>
      <w:r w:rsidRPr="00531B86">
        <w:rPr>
          <w:rFonts w:ascii="Arial" w:hAnsi="Arial" w:cs="Arial"/>
          <w:sz w:val="22"/>
          <w:szCs w:val="22"/>
        </w:rPr>
        <w:t xml:space="preserve"> pour toute</w:t>
      </w:r>
      <w:r w:rsidR="00C94C3E" w:rsidRPr="00531B86">
        <w:rPr>
          <w:rFonts w:ascii="Arial" w:hAnsi="Arial" w:cs="Arial"/>
          <w:sz w:val="22"/>
          <w:szCs w:val="22"/>
        </w:rPr>
        <w:t>s</w:t>
      </w:r>
      <w:r w:rsidRPr="00531B86">
        <w:rPr>
          <w:rFonts w:ascii="Arial" w:hAnsi="Arial" w:cs="Arial"/>
          <w:sz w:val="22"/>
          <w:szCs w:val="22"/>
        </w:rPr>
        <w:t xml:space="preserve"> les pathologies fréquentes</w:t>
      </w:r>
      <w:r w:rsidR="00B41752" w:rsidRPr="00531B86">
        <w:rPr>
          <w:rFonts w:ascii="Arial" w:hAnsi="Arial" w:cs="Arial"/>
          <w:sz w:val="22"/>
          <w:szCs w:val="22"/>
        </w:rPr>
        <w:t xml:space="preserve"> : </w:t>
      </w:r>
      <w:r w:rsidR="00C94C3E" w:rsidRPr="00531B86">
        <w:rPr>
          <w:rFonts w:ascii="Arial" w:hAnsi="Arial" w:cs="Arial"/>
          <w:sz w:val="22"/>
          <w:szCs w:val="22"/>
        </w:rPr>
        <w:t xml:space="preserve">cela </w:t>
      </w:r>
      <w:r w:rsidRPr="00531B86">
        <w:rPr>
          <w:rFonts w:ascii="Arial" w:hAnsi="Arial" w:cs="Arial"/>
          <w:sz w:val="22"/>
          <w:szCs w:val="22"/>
        </w:rPr>
        <w:t>doit devenir la règle</w:t>
      </w:r>
      <w:r w:rsidR="00237116" w:rsidRPr="00531B86">
        <w:rPr>
          <w:rFonts w:ascii="Arial" w:hAnsi="Arial" w:cs="Arial"/>
          <w:sz w:val="22"/>
          <w:szCs w:val="22"/>
        </w:rPr>
        <w:t xml:space="preserve"> en période de difficultés d’approvisionnement</w:t>
      </w:r>
      <w:r w:rsidRPr="00531B86">
        <w:rPr>
          <w:rFonts w:ascii="Arial" w:hAnsi="Arial" w:cs="Arial"/>
          <w:sz w:val="22"/>
          <w:szCs w:val="22"/>
        </w:rPr>
        <w:t>.</w:t>
      </w:r>
    </w:p>
    <w:p w14:paraId="0BA722F6" w14:textId="77777777" w:rsidR="00E72D4C" w:rsidRPr="00531B86" w:rsidRDefault="00E72D4C" w:rsidP="00E72D4C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96"/>
      </w:tblGrid>
      <w:tr w:rsidR="00E72D4C" w:rsidRPr="00200DA7" w14:paraId="3F2D1A4A" w14:textId="77777777" w:rsidTr="002B4F85">
        <w:tc>
          <w:tcPr>
            <w:tcW w:w="13996" w:type="dxa"/>
          </w:tcPr>
          <w:p w14:paraId="25F4E620" w14:textId="19CCE7D7" w:rsidR="00E72D4C" w:rsidRPr="00531B86" w:rsidRDefault="00E72D4C" w:rsidP="002B4F8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1B86">
              <w:rPr>
                <w:rFonts w:ascii="Arial" w:hAnsi="Arial" w:cs="Arial"/>
                <w:sz w:val="22"/>
                <w:szCs w:val="22"/>
              </w:rPr>
              <w:t xml:space="preserve">Les choix d’antibiotiques proposés </w:t>
            </w:r>
            <w:r w:rsidRPr="00531B8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tiennent compte de l’état des prévisions d’approvisionnement de l’ANSM dans les semaines à venir : lorsque les formes pédiatriques des antibiotiques ne sont pas disponibles,</w:t>
            </w:r>
            <w:r w:rsidRPr="00531B86">
              <w:rPr>
                <w:rFonts w:ascii="Arial" w:hAnsi="Arial" w:cs="Arial"/>
                <w:sz w:val="22"/>
                <w:szCs w:val="22"/>
              </w:rPr>
              <w:t xml:space="preserve"> dans la majorité des situations où elles s’avèrent nécessaires, </w:t>
            </w:r>
            <w:r w:rsidRPr="00531B8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ce sont les formes adultes qui doivent être prescrites</w:t>
            </w:r>
            <w:r w:rsidRPr="00531B86">
              <w:rPr>
                <w:rFonts w:ascii="Arial" w:hAnsi="Arial" w:cs="Arial"/>
                <w:sz w:val="22"/>
                <w:szCs w:val="22"/>
              </w:rPr>
              <w:t xml:space="preserve"> en </w:t>
            </w:r>
            <w:r w:rsidRPr="00531B8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adaptant approximativement les doses au poids</w:t>
            </w:r>
            <w:r w:rsidRPr="00531B86">
              <w:rPr>
                <w:rFonts w:ascii="Arial" w:hAnsi="Arial" w:cs="Arial"/>
                <w:sz w:val="22"/>
                <w:szCs w:val="22"/>
              </w:rPr>
              <w:t xml:space="preserve"> et à l’âge de l’enfant, et en économisant au maximum les ressources à disposition.  Cette pratique est relativement aisée pour certains antibiotiques (comprimé dispersible ou forme sachet), plus difficile pour d’autres, nécessitant des préparations pharmaceutiques. Du fait des stock</w:t>
            </w:r>
            <w:r w:rsidR="003C0C36">
              <w:rPr>
                <w:rFonts w:ascii="Arial" w:hAnsi="Arial" w:cs="Arial"/>
                <w:sz w:val="22"/>
                <w:szCs w:val="22"/>
              </w:rPr>
              <w:t>s</w:t>
            </w:r>
            <w:r w:rsidRPr="00531B86">
              <w:rPr>
                <w:rFonts w:ascii="Arial" w:hAnsi="Arial" w:cs="Arial"/>
                <w:sz w:val="22"/>
                <w:szCs w:val="22"/>
              </w:rPr>
              <w:t xml:space="preserve"> limités de la quasi-totalité des formes pédiatriques des autres antibiotiques, le report sur ces molécules peut représenter un risque majeur pour des patients souffrant de pathologie chronique grave. A titre d’exemple, la pénicilline V est utilisée aujourd’hui essentiellement pour prévenir les infections graves nota</w:t>
            </w:r>
            <w:r w:rsidR="003C0C36">
              <w:rPr>
                <w:rFonts w:ascii="Arial" w:hAnsi="Arial" w:cs="Arial"/>
                <w:sz w:val="22"/>
                <w:szCs w:val="22"/>
              </w:rPr>
              <w:t>m</w:t>
            </w:r>
            <w:r w:rsidRPr="00531B86">
              <w:rPr>
                <w:rFonts w:ascii="Arial" w:hAnsi="Arial" w:cs="Arial"/>
                <w:sz w:val="22"/>
                <w:szCs w:val="22"/>
              </w:rPr>
              <w:t>ment à pneumocoque chez les drépanocytaire</w:t>
            </w:r>
            <w:r w:rsidR="003C0C36">
              <w:rPr>
                <w:rFonts w:ascii="Arial" w:hAnsi="Arial" w:cs="Arial"/>
                <w:sz w:val="22"/>
                <w:szCs w:val="22"/>
              </w:rPr>
              <w:t>s</w:t>
            </w:r>
            <w:r w:rsidRPr="00531B86">
              <w:rPr>
                <w:rFonts w:ascii="Arial" w:hAnsi="Arial" w:cs="Arial"/>
                <w:sz w:val="22"/>
                <w:szCs w:val="22"/>
              </w:rPr>
              <w:t xml:space="preserve"> et </w:t>
            </w:r>
            <w:proofErr w:type="spellStart"/>
            <w:r w:rsidRPr="00531B86">
              <w:rPr>
                <w:rFonts w:ascii="Arial" w:hAnsi="Arial" w:cs="Arial"/>
                <w:sz w:val="22"/>
                <w:szCs w:val="22"/>
              </w:rPr>
              <w:t>asplénique</w:t>
            </w:r>
            <w:r w:rsidR="00200DA7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531B86">
              <w:rPr>
                <w:rFonts w:ascii="Arial" w:hAnsi="Arial" w:cs="Arial"/>
                <w:sz w:val="22"/>
                <w:szCs w:val="22"/>
              </w:rPr>
              <w:t>. Prescrire cette molécule pour les angines risque de retentir gravement sur la prise en charge de ces patients.</w:t>
            </w:r>
          </w:p>
        </w:tc>
      </w:tr>
    </w:tbl>
    <w:p w14:paraId="4056595B" w14:textId="77777777" w:rsidR="00E72D4C" w:rsidRPr="00531B86" w:rsidRDefault="00E72D4C" w:rsidP="00E72D4C">
      <w:pPr>
        <w:jc w:val="both"/>
        <w:rPr>
          <w:rFonts w:ascii="Arial" w:hAnsi="Arial" w:cs="Arial"/>
          <w:sz w:val="22"/>
          <w:szCs w:val="22"/>
        </w:rPr>
      </w:pPr>
    </w:p>
    <w:p w14:paraId="05FD29D7" w14:textId="4F2C881E" w:rsidR="006512CF" w:rsidRPr="00531B86" w:rsidRDefault="006512CF" w:rsidP="003164A5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14879" w:type="dxa"/>
        <w:tblLook w:val="04A0" w:firstRow="1" w:lastRow="0" w:firstColumn="1" w:lastColumn="0" w:noHBand="0" w:noVBand="1"/>
      </w:tblPr>
      <w:tblGrid>
        <w:gridCol w:w="1696"/>
        <w:gridCol w:w="1985"/>
        <w:gridCol w:w="1756"/>
        <w:gridCol w:w="1727"/>
        <w:gridCol w:w="1852"/>
        <w:gridCol w:w="2037"/>
        <w:gridCol w:w="3826"/>
      </w:tblGrid>
      <w:tr w:rsidR="00200DA7" w:rsidRPr="00200DA7" w14:paraId="7A89971E" w14:textId="77777777" w:rsidTr="0049630E">
        <w:tc>
          <w:tcPr>
            <w:tcW w:w="1696" w:type="dxa"/>
          </w:tcPr>
          <w:p w14:paraId="677F129B" w14:textId="77777777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0F9BBD3" w14:textId="77777777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3" w:type="dxa"/>
            <w:gridSpan w:val="2"/>
          </w:tcPr>
          <w:p w14:paraId="6A9129E6" w14:textId="77777777" w:rsidR="0049630E" w:rsidRPr="00531B86" w:rsidRDefault="0049630E" w:rsidP="0065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7216A" w14:textId="77777777" w:rsidR="005824E1" w:rsidRPr="00531B86" w:rsidRDefault="0049630E" w:rsidP="0065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Recommandations a</w:t>
            </w:r>
            <w:r w:rsidR="005824E1"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vant la pénurie</w:t>
            </w:r>
          </w:p>
          <w:p w14:paraId="44D9936A" w14:textId="34D4E9B9" w:rsidR="0049630E" w:rsidRPr="00531B86" w:rsidRDefault="0049630E" w:rsidP="0065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14:paraId="1B30A920" w14:textId="77777777" w:rsidR="0049630E" w:rsidRPr="00531B86" w:rsidRDefault="0049630E" w:rsidP="0065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4CDBD9" w14:textId="58A3B3AC" w:rsidR="005824E1" w:rsidRPr="00531B86" w:rsidRDefault="0049630E" w:rsidP="0065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Recommandations p</w:t>
            </w:r>
            <w:r w:rsidR="005824E1"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endant la pénurie</w:t>
            </w:r>
          </w:p>
        </w:tc>
        <w:tc>
          <w:tcPr>
            <w:tcW w:w="3826" w:type="dxa"/>
          </w:tcPr>
          <w:p w14:paraId="069AC524" w14:textId="77777777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3F02" w:rsidRPr="00200DA7" w14:paraId="578332CB" w14:textId="77777777" w:rsidTr="0049630E">
        <w:tc>
          <w:tcPr>
            <w:tcW w:w="1696" w:type="dxa"/>
          </w:tcPr>
          <w:p w14:paraId="148E97F7" w14:textId="77777777" w:rsidR="002F01E9" w:rsidRPr="00531B86" w:rsidRDefault="00CA02A8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  <w:p w14:paraId="35CE69AF" w14:textId="3D689368" w:rsidR="00CA02A8" w:rsidRPr="00531B86" w:rsidRDefault="00CA02A8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clinique</w:t>
            </w:r>
            <w:proofErr w:type="gramEnd"/>
          </w:p>
        </w:tc>
        <w:tc>
          <w:tcPr>
            <w:tcW w:w="1985" w:type="dxa"/>
          </w:tcPr>
          <w:p w14:paraId="4AB937E3" w14:textId="4D0885BA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% des prescriptions chez l’enfant </w:t>
            </w:r>
          </w:p>
        </w:tc>
        <w:tc>
          <w:tcPr>
            <w:tcW w:w="1756" w:type="dxa"/>
          </w:tcPr>
          <w:p w14:paraId="3EA1ED16" w14:textId="592D5389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Antibiotique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recommandé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avant la pénurie </w:t>
            </w:r>
          </w:p>
        </w:tc>
        <w:tc>
          <w:tcPr>
            <w:tcW w:w="1727" w:type="dxa"/>
          </w:tcPr>
          <w:p w14:paraId="41A4DE9B" w14:textId="164773BE" w:rsidR="00B41752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Antibiotique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51134DD" w14:textId="014FEE7A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recommandé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en alternative </w:t>
            </w:r>
          </w:p>
        </w:tc>
        <w:tc>
          <w:tcPr>
            <w:tcW w:w="1852" w:type="dxa"/>
          </w:tcPr>
          <w:p w14:paraId="6025F440" w14:textId="69BCB5E6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Antibiotique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recommandé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 xml:space="preserve">cas </w:t>
            </w:r>
            <w:proofErr w:type="gramStart"/>
            <w:r w:rsidR="00A93F02" w:rsidRPr="00531B86">
              <w:rPr>
                <w:rFonts w:ascii="Arial" w:hAnsi="Arial" w:cs="Arial"/>
                <w:sz w:val="20"/>
                <w:szCs w:val="20"/>
              </w:rPr>
              <w:t>d’indisponibilité  des</w:t>
            </w:r>
            <w:proofErr w:type="gramEnd"/>
            <w:r w:rsidR="00A93F02" w:rsidRPr="00531B86">
              <w:rPr>
                <w:rFonts w:ascii="Arial" w:hAnsi="Arial" w:cs="Arial"/>
                <w:sz w:val="20"/>
                <w:szCs w:val="20"/>
              </w:rPr>
              <w:t xml:space="preserve"> formes pédiatriques</w:t>
            </w:r>
          </w:p>
        </w:tc>
        <w:tc>
          <w:tcPr>
            <w:tcW w:w="2037" w:type="dxa"/>
          </w:tcPr>
          <w:p w14:paraId="2BDC1F99" w14:textId="689B1F1F" w:rsidR="00B41752" w:rsidRPr="00531B86" w:rsidRDefault="00B21DBD" w:rsidP="006512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Alternatives</w:t>
            </w:r>
          </w:p>
          <w:p w14:paraId="0A9B72AA" w14:textId="0E05EFA4" w:rsidR="00CA02A8" w:rsidRPr="00531B86" w:rsidRDefault="00B21DBD" w:rsidP="006512C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possibles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2A8" w:rsidRPr="00531B86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>cas d’indisponibilité  des formes pédiatriques</w:t>
            </w:r>
          </w:p>
        </w:tc>
        <w:tc>
          <w:tcPr>
            <w:tcW w:w="3826" w:type="dxa"/>
          </w:tcPr>
          <w:p w14:paraId="75DCC0F8" w14:textId="26CCF87E" w:rsidR="00CA02A8" w:rsidRPr="00531B86" w:rsidRDefault="00CA02A8" w:rsidP="00043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Actions </w:t>
            </w:r>
            <w:r w:rsidR="004C6370">
              <w:rPr>
                <w:rFonts w:ascii="Arial" w:hAnsi="Arial" w:cs="Arial"/>
                <w:sz w:val="20"/>
                <w:szCs w:val="20"/>
              </w:rPr>
              <w:t xml:space="preserve">complémentaires proposées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pour diminuer les </w:t>
            </w:r>
            <w:r w:rsidR="00200DA7" w:rsidRPr="00531B86">
              <w:rPr>
                <w:rFonts w:ascii="Arial" w:hAnsi="Arial" w:cs="Arial"/>
                <w:sz w:val="20"/>
                <w:szCs w:val="20"/>
              </w:rPr>
              <w:t>volumes d’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>antibiotiques</w:t>
            </w:r>
            <w:r w:rsidR="00200DA7" w:rsidRPr="00531B86">
              <w:rPr>
                <w:rFonts w:ascii="Arial" w:hAnsi="Arial" w:cs="Arial"/>
                <w:sz w:val="20"/>
                <w:szCs w:val="20"/>
              </w:rPr>
              <w:t xml:space="preserve"> prescrits</w:t>
            </w:r>
          </w:p>
        </w:tc>
      </w:tr>
      <w:tr w:rsidR="00A93F02" w:rsidRPr="00200DA7" w14:paraId="516E4B25" w14:textId="77777777" w:rsidTr="0049630E">
        <w:tc>
          <w:tcPr>
            <w:tcW w:w="1696" w:type="dxa"/>
          </w:tcPr>
          <w:p w14:paraId="6E207C0F" w14:textId="77777777" w:rsidR="00CA02A8" w:rsidRPr="00531B86" w:rsidRDefault="00CA02A8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Otit</w:t>
            </w:r>
            <w:r w:rsidR="00850C7D"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e moyenne</w:t>
            </w:r>
            <w:r w:rsidR="0049630E" w:rsidRPr="00531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aiguë purulente</w:t>
            </w:r>
          </w:p>
          <w:p w14:paraId="212382B8" w14:textId="77777777" w:rsidR="00200AAB" w:rsidRDefault="00200AAB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(OMAP)</w:t>
            </w:r>
          </w:p>
          <w:p w14:paraId="27B08341" w14:textId="77777777" w:rsidR="004C6370" w:rsidRDefault="004C6370" w:rsidP="004C637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06984" w14:textId="2F545C5F" w:rsidR="004C6370" w:rsidRPr="004C6370" w:rsidRDefault="004C6370" w:rsidP="004C6370">
            <w:pPr>
              <w:rPr>
                <w:rFonts w:ascii="Arial" w:hAnsi="Arial" w:cs="Arial"/>
                <w:sz w:val="20"/>
                <w:szCs w:val="20"/>
              </w:rPr>
            </w:pPr>
            <w:r w:rsidRPr="004C637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C637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4C6370">
              <w:rPr>
                <w:rFonts w:ascii="Arial" w:hAnsi="Arial" w:cs="Arial"/>
                <w:sz w:val="18"/>
                <w:szCs w:val="18"/>
              </w:rPr>
              <w:t xml:space="preserve"> 1ère intention)</w:t>
            </w:r>
          </w:p>
        </w:tc>
        <w:tc>
          <w:tcPr>
            <w:tcW w:w="1985" w:type="dxa"/>
          </w:tcPr>
          <w:p w14:paraId="451CC9A4" w14:textId="4C244FB9" w:rsidR="00CA02A8" w:rsidRPr="00531B86" w:rsidRDefault="00506B09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Les OMAP représentaient avant la pénurie </w:t>
            </w:r>
            <w:r w:rsidR="00CA02A8" w:rsidRPr="00531B86">
              <w:rPr>
                <w:rFonts w:ascii="Arial" w:hAnsi="Arial" w:cs="Arial"/>
                <w:sz w:val="20"/>
                <w:szCs w:val="20"/>
              </w:rPr>
              <w:t xml:space="preserve">50 à 80 % des prescriptions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d’antibiotiques considérées comme </w:t>
            </w:r>
            <w:r w:rsidR="00CA02A8" w:rsidRPr="00531B86">
              <w:rPr>
                <w:rFonts w:ascii="Arial" w:hAnsi="Arial" w:cs="Arial"/>
                <w:sz w:val="20"/>
                <w:szCs w:val="20"/>
              </w:rPr>
              <w:t>justifié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>e</w:t>
            </w:r>
            <w:r w:rsidR="00CA02A8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 xml:space="preserve"> selon les recommandations officielles en France</w:t>
            </w:r>
          </w:p>
        </w:tc>
        <w:tc>
          <w:tcPr>
            <w:tcW w:w="1756" w:type="dxa"/>
          </w:tcPr>
          <w:p w14:paraId="224C8290" w14:textId="2DC0B944" w:rsidR="00CA02A8" w:rsidRPr="00531B86" w:rsidRDefault="003C0C36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3C0C36">
              <w:rPr>
                <w:rFonts w:ascii="Arial" w:hAnsi="Arial" w:cs="Arial"/>
                <w:sz w:val="20"/>
                <w:szCs w:val="20"/>
              </w:rPr>
              <w:t>Amoxicilline suspension</w:t>
            </w:r>
            <w:r w:rsidR="00CA02A8" w:rsidRPr="00531B86">
              <w:rPr>
                <w:rFonts w:ascii="Arial" w:hAnsi="Arial" w:cs="Arial"/>
                <w:sz w:val="20"/>
                <w:szCs w:val="20"/>
              </w:rPr>
              <w:t xml:space="preserve"> buvable</w:t>
            </w:r>
          </w:p>
          <w:p w14:paraId="389478FF" w14:textId="77777777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80 à 100 mg/kg/j en 2 prises/ j</w:t>
            </w:r>
          </w:p>
          <w:p w14:paraId="7C706680" w14:textId="2D4BA8E3" w:rsidR="002C5916" w:rsidRPr="00531B86" w:rsidRDefault="002C5916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10 jours avant 2 ans, 5 jours après cet âge</w:t>
            </w:r>
          </w:p>
        </w:tc>
        <w:tc>
          <w:tcPr>
            <w:tcW w:w="1727" w:type="dxa"/>
          </w:tcPr>
          <w:p w14:paraId="113EF383" w14:textId="77777777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Cefpodoxime</w:t>
            </w:r>
          </w:p>
          <w:p w14:paraId="001D11D7" w14:textId="47D2E8B2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8 mg/kg/jour en 2 prises</w:t>
            </w:r>
          </w:p>
          <w:p w14:paraId="7F19391A" w14:textId="5E50B89D" w:rsidR="005824E1" w:rsidRPr="00531B86" w:rsidRDefault="007A5F27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10 jours avant 2 ans, 5 jours après cet âge</w:t>
            </w:r>
          </w:p>
        </w:tc>
        <w:tc>
          <w:tcPr>
            <w:tcW w:w="1852" w:type="dxa"/>
          </w:tcPr>
          <w:p w14:paraId="6076A0A5" w14:textId="561B38B7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Amox</w:t>
            </w:r>
            <w:r w:rsidR="00454442" w:rsidRPr="00531B86">
              <w:rPr>
                <w:rFonts w:ascii="Arial" w:hAnsi="Arial" w:cs="Arial"/>
                <w:sz w:val="20"/>
                <w:szCs w:val="20"/>
              </w:rPr>
              <w:t>icilline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adulte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1 g dispersible</w:t>
            </w:r>
          </w:p>
          <w:p w14:paraId="1E189BA8" w14:textId="55903F17" w:rsidR="005824E1" w:rsidRPr="00531B86" w:rsidRDefault="005824E1" w:rsidP="005824E1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-8 à 1</w:t>
            </w:r>
            <w:r w:rsidR="002439AB">
              <w:rPr>
                <w:rFonts w:ascii="Arial" w:hAnsi="Arial" w:cs="Arial"/>
                <w:sz w:val="20"/>
                <w:szCs w:val="20"/>
              </w:rPr>
              <w:t>2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kg = </w:t>
            </w:r>
            <w:r w:rsidR="00454442"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50C7D" w:rsidRPr="00531B86"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  <w:r w:rsidR="00850C7D" w:rsidRPr="00531B86">
              <w:rPr>
                <w:rFonts w:ascii="Arial" w:hAnsi="Arial" w:cs="Arial"/>
                <w:sz w:val="20"/>
                <w:szCs w:val="20"/>
              </w:rPr>
              <w:t xml:space="preserve"> fois par jour</w:t>
            </w:r>
          </w:p>
          <w:p w14:paraId="2C4E61A1" w14:textId="2C914978" w:rsidR="002C5916" w:rsidRPr="00531B86" w:rsidRDefault="00846416" w:rsidP="002C5916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En dessous ou au-dessus diluer </w:t>
            </w:r>
            <w:r w:rsidR="00454442"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ou 1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dans 10 ml d’eau et calculer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62A5" w:rsidRPr="00531B86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>une posologie de 80 à 100 mg/kg/j en 2 prises/</w:t>
            </w:r>
            <w:r w:rsidR="007A5F27" w:rsidRPr="00531B86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403F6D7F" w14:textId="77777777" w:rsidR="007A5F27" w:rsidRPr="00531B86" w:rsidRDefault="007A5F27" w:rsidP="007A5F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traitement, quel que soit l’âge.</w:t>
            </w:r>
          </w:p>
          <w:p w14:paraId="5CBC5616" w14:textId="77777777" w:rsidR="007A5F27" w:rsidRPr="00531B86" w:rsidRDefault="007A5F27" w:rsidP="002C591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BE0F7" w14:textId="560418AE" w:rsidR="00846416" w:rsidRPr="00531B86" w:rsidRDefault="00846416" w:rsidP="00582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6D2E2F" w14:textId="77777777" w:rsidR="005824E1" w:rsidRPr="00531B86" w:rsidRDefault="005824E1" w:rsidP="00582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09D59" w14:textId="22AE91B5" w:rsidR="005824E1" w:rsidRPr="00531B86" w:rsidRDefault="005824E1" w:rsidP="005824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5B1F1B15" w14:textId="1E18BA32" w:rsidR="00CA02A8" w:rsidRPr="00531B86" w:rsidRDefault="00CA02A8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Cefpodoxime suspension ou </w:t>
            </w:r>
            <w:r w:rsidR="002562A5" w:rsidRPr="00531B86">
              <w:rPr>
                <w:rFonts w:ascii="Arial" w:hAnsi="Arial" w:cs="Arial"/>
                <w:sz w:val="20"/>
                <w:szCs w:val="20"/>
              </w:rPr>
              <w:t xml:space="preserve">à défaut :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adulte écrasés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 xml:space="preserve"> de 100 mg</w:t>
            </w:r>
          </w:p>
          <w:p w14:paraId="1D24118E" w14:textId="09583BF6" w:rsidR="00CA02A8" w:rsidRPr="00531B86" w:rsidRDefault="00454442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824E1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5824E1" w:rsidRPr="00531B86">
              <w:rPr>
                <w:rFonts w:ascii="Arial" w:hAnsi="Arial" w:cs="Arial"/>
                <w:sz w:val="20"/>
                <w:szCs w:val="20"/>
              </w:rPr>
              <w:t xml:space="preserve"> matin et soir</w:t>
            </w:r>
          </w:p>
          <w:p w14:paraId="1901114E" w14:textId="59019502" w:rsidR="007A5F27" w:rsidRPr="00531B86" w:rsidRDefault="007A5F27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traitement, quel que soit l’âge</w:t>
            </w:r>
          </w:p>
          <w:p w14:paraId="372DC9F2" w14:textId="4D051B5A" w:rsidR="005824E1" w:rsidRPr="00531B86" w:rsidRDefault="00B41752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--------------------------</w:t>
            </w:r>
          </w:p>
          <w:p w14:paraId="73CBB080" w14:textId="77777777" w:rsidR="005824E1" w:rsidRPr="00531B86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Ceftriaxone 500 mg</w:t>
            </w:r>
          </w:p>
          <w:p w14:paraId="36A327E4" w14:textId="1AB9E634" w:rsidR="005824E1" w:rsidRDefault="005824E1" w:rsidP="006512CF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 injection IM unique</w:t>
            </w:r>
            <w:r w:rsidR="004C637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="004C6370">
              <w:rPr>
                <w:rFonts w:ascii="Arial" w:hAnsi="Arial" w:cs="Arial"/>
                <w:sz w:val="20"/>
                <w:szCs w:val="20"/>
              </w:rPr>
              <w:t>au dessus</w:t>
            </w:r>
            <w:proofErr w:type="spellEnd"/>
            <w:r w:rsidR="004C6370">
              <w:rPr>
                <w:rFonts w:ascii="Arial" w:hAnsi="Arial" w:cs="Arial"/>
                <w:sz w:val="20"/>
                <w:szCs w:val="20"/>
              </w:rPr>
              <w:t xml:space="preserve"> de 8 kg)</w:t>
            </w:r>
          </w:p>
          <w:p w14:paraId="47B90BE4" w14:textId="1F3742BC" w:rsidR="00B21DBD" w:rsidRPr="00531B86" w:rsidRDefault="00B21DBD" w:rsidP="006512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716DDA83" w14:textId="549FA059" w:rsidR="00CA02A8" w:rsidRPr="00531B86" w:rsidRDefault="00CA02A8" w:rsidP="00CA02A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A5F27" w:rsidRPr="00531B86">
              <w:rPr>
                <w:rFonts w:ascii="Arial" w:hAnsi="Arial" w:cs="Arial"/>
                <w:sz w:val="20"/>
                <w:szCs w:val="20"/>
              </w:rPr>
              <w:t>quel que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 xml:space="preserve"> soit l’âge.</w:t>
            </w:r>
          </w:p>
          <w:p w14:paraId="699F030D" w14:textId="19D149F2" w:rsidR="00CA02A8" w:rsidRPr="00531B86" w:rsidRDefault="00CA02A8" w:rsidP="00CA02A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Ne trait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er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que les </w:t>
            </w:r>
            <w:r w:rsidR="00200AAB" w:rsidRPr="00531B86">
              <w:rPr>
                <w:rFonts w:ascii="Arial" w:hAnsi="Arial" w:cs="Arial"/>
                <w:sz w:val="20"/>
                <w:szCs w:val="20"/>
              </w:rPr>
              <w:t>OMAP dument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 xml:space="preserve"> diagnostiquée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(avis ORL ou pédiatrique en cas de doute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DCF9B71" w14:textId="58925CE1" w:rsidR="00AC2C2D" w:rsidRPr="00531B86" w:rsidRDefault="00AC2C2D" w:rsidP="00CA02A8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Avant 6 moi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>traiter t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outes 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 xml:space="preserve">les OMAP </w:t>
            </w:r>
            <w:r w:rsidRPr="00531B86">
              <w:rPr>
                <w:rFonts w:ascii="Arial" w:hAnsi="Arial" w:cs="Arial"/>
                <w:sz w:val="20"/>
                <w:szCs w:val="20"/>
              </w:rPr>
              <w:t>d’emblée</w:t>
            </w:r>
            <w:r w:rsidR="00B41752" w:rsidRPr="00531B8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4253A3B" w14:textId="724ADF31" w:rsidR="00AC2C2D" w:rsidRPr="00531B86" w:rsidRDefault="00B41752" w:rsidP="000431A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6 mois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2 ans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> :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traiter </w:t>
            </w:r>
            <w:r w:rsidR="00200AAB" w:rsidRPr="00531B86">
              <w:rPr>
                <w:rFonts w:ascii="Arial" w:hAnsi="Arial" w:cs="Arial"/>
                <w:sz w:val="20"/>
                <w:szCs w:val="20"/>
              </w:rPr>
              <w:t xml:space="preserve">les OMAP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 xml:space="preserve">d’emblée si 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 xml:space="preserve">très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fébrile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,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 xml:space="preserve"> douloureuse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200AAB" w:rsidRPr="00531B86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compliquée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49630E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(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 xml:space="preserve">perforation avec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 xml:space="preserve">otorrhée,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otite 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récidivan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>t</w:t>
            </w:r>
            <w:r w:rsidR="00AC2C2D" w:rsidRPr="00531B86">
              <w:rPr>
                <w:rFonts w:ascii="Arial" w:hAnsi="Arial" w:cs="Arial"/>
                <w:sz w:val="20"/>
                <w:szCs w:val="20"/>
              </w:rPr>
              <w:t>e)</w:t>
            </w:r>
            <w:r w:rsidR="003164A5" w:rsidRPr="00531B86">
              <w:rPr>
                <w:rFonts w:ascii="Arial" w:hAnsi="Arial" w:cs="Arial"/>
                <w:sz w:val="20"/>
                <w:szCs w:val="20"/>
              </w:rPr>
              <w:t>. P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our 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les </w:t>
            </w:r>
            <w:r w:rsidR="0049630E" w:rsidRPr="00531B86">
              <w:rPr>
                <w:rFonts w:ascii="Arial" w:hAnsi="Arial" w:cs="Arial"/>
                <w:sz w:val="20"/>
                <w:szCs w:val="20"/>
              </w:rPr>
              <w:t>autres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> :</w:t>
            </w:r>
            <w:r w:rsidR="0049630E" w:rsidRPr="00531B86">
              <w:rPr>
                <w:rFonts w:ascii="Arial" w:hAnsi="Arial" w:cs="Arial"/>
                <w:sz w:val="20"/>
                <w:szCs w:val="20"/>
              </w:rPr>
              <w:t xml:space="preserve"> proposer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 xml:space="preserve">une 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>antibiothérapie différée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 xml:space="preserve"> (si pas d’amélioration 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 xml:space="preserve">de la fièvre et ou des douleurs 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>en 36 et 48 heures).</w:t>
            </w:r>
          </w:p>
          <w:p w14:paraId="11892041" w14:textId="77777777" w:rsidR="00A93F02" w:rsidRPr="00531B86" w:rsidRDefault="0049630E" w:rsidP="00A43672">
            <w:pPr>
              <w:pStyle w:val="Paragraphedeliste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 Plus de 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>2 ans</w:t>
            </w:r>
            <w:r w:rsidR="00CE621D" w:rsidRPr="00531B86">
              <w:rPr>
                <w:rFonts w:ascii="Arial" w:hAnsi="Arial" w:cs="Arial"/>
                <w:sz w:val="20"/>
                <w:szCs w:val="20"/>
              </w:rPr>
              <w:t> :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0F70FF" w14:textId="77777777" w:rsidR="00A93F02" w:rsidRPr="00531B86" w:rsidRDefault="00A43672" w:rsidP="00A93F02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antibiothérapie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différée à privilégier, 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>(si pas d’amélioration de la fièvre et ou des douleurs en 36 et 48 heures).</w:t>
            </w:r>
          </w:p>
          <w:p w14:paraId="32C28C5C" w14:textId="76EF795A" w:rsidR="00AC2C2D" w:rsidRPr="00531B86" w:rsidRDefault="00CE621D" w:rsidP="00531B86">
            <w:pPr>
              <w:pStyle w:val="Paragraphedeliste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réserver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la prescription 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d’emblée </w:t>
            </w:r>
            <w:r w:rsidRPr="00531B86">
              <w:rPr>
                <w:rFonts w:ascii="Arial" w:hAnsi="Arial" w:cs="Arial"/>
                <w:sz w:val="20"/>
                <w:szCs w:val="20"/>
              </w:rPr>
              <w:t>aux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formes 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>compliquée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>ou</w:t>
            </w:r>
            <w:r w:rsidR="00A43672" w:rsidRPr="00531B86">
              <w:rPr>
                <w:rFonts w:ascii="Arial" w:hAnsi="Arial" w:cs="Arial"/>
                <w:sz w:val="20"/>
                <w:szCs w:val="20"/>
              </w:rPr>
              <w:t xml:space="preserve"> très symptomatique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024AB9" w:rsidRPr="00531B86">
              <w:rPr>
                <w:rFonts w:ascii="Arial" w:hAnsi="Arial" w:cs="Arial"/>
                <w:sz w:val="20"/>
                <w:szCs w:val="20"/>
              </w:rPr>
              <w:t>.</w:t>
            </w:r>
            <w:r w:rsidR="00A93F02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E8706A3" w14:textId="4D85A00E" w:rsidR="00CA02A8" w:rsidRPr="00531B86" w:rsidRDefault="00694600" w:rsidP="00531B86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>Les macrolides ne sont pas conseillé</w:t>
            </w:r>
            <w:r w:rsidR="00627E5E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car cette famille d’antibiotique a une activité médiocre sur </w:t>
            </w:r>
            <w:r w:rsidRPr="00531B86">
              <w:rPr>
                <w:rFonts w:ascii="Arial" w:hAnsi="Arial" w:cs="Arial"/>
                <w:i/>
                <w:sz w:val="20"/>
                <w:szCs w:val="20"/>
              </w:rPr>
              <w:t>H. influenzae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et 20 à 30% des pneumocoques y sont résistant</w:t>
            </w:r>
            <w:r w:rsidR="00627E5E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93F02" w:rsidRPr="00200DA7" w14:paraId="0F661E97" w14:textId="77777777" w:rsidTr="0049630E">
        <w:tc>
          <w:tcPr>
            <w:tcW w:w="1696" w:type="dxa"/>
          </w:tcPr>
          <w:p w14:paraId="399582BE" w14:textId="77777777" w:rsidR="00A43672" w:rsidRDefault="00A43672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Angine</w:t>
            </w:r>
          </w:p>
          <w:p w14:paraId="0F45A209" w14:textId="37C58B97" w:rsidR="004C6370" w:rsidRPr="00531B86" w:rsidRDefault="004C6370" w:rsidP="000431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37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C637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4C6370">
              <w:rPr>
                <w:rFonts w:ascii="Arial" w:hAnsi="Arial" w:cs="Arial"/>
                <w:sz w:val="18"/>
                <w:szCs w:val="18"/>
              </w:rPr>
              <w:t xml:space="preserve"> 1ère intention)</w:t>
            </w:r>
          </w:p>
        </w:tc>
        <w:tc>
          <w:tcPr>
            <w:tcW w:w="1985" w:type="dxa"/>
          </w:tcPr>
          <w:p w14:paraId="7D65F3B4" w14:textId="70F6305B" w:rsidR="00A43672" w:rsidRPr="00531B86" w:rsidRDefault="00506B09" w:rsidP="00A43672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Les angines représentaient avant la pénurie 10 à 20 % des prescriptions d’antibiotiques considérées comme justifiées selon les recommandations officielles en France </w:t>
            </w:r>
          </w:p>
        </w:tc>
        <w:tc>
          <w:tcPr>
            <w:tcW w:w="1756" w:type="dxa"/>
          </w:tcPr>
          <w:p w14:paraId="230EE874" w14:textId="77777777" w:rsidR="005824E1" w:rsidRPr="00531B86" w:rsidRDefault="005824E1" w:rsidP="005824E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Amoxicilline  suspension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buvable</w:t>
            </w:r>
          </w:p>
          <w:p w14:paraId="4B4348AF" w14:textId="79A9C309" w:rsidR="00A43672" w:rsidRPr="00531B86" w:rsidRDefault="002C5903" w:rsidP="005824E1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50 </w:t>
            </w:r>
            <w:r w:rsidR="005824E1" w:rsidRPr="00531B86">
              <w:rPr>
                <w:rFonts w:ascii="Arial" w:hAnsi="Arial" w:cs="Arial"/>
                <w:sz w:val="20"/>
                <w:szCs w:val="20"/>
              </w:rPr>
              <w:t>mg/kg/j en 2 prises/ j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 pour 6 jours</w:t>
            </w:r>
          </w:p>
        </w:tc>
        <w:tc>
          <w:tcPr>
            <w:tcW w:w="1727" w:type="dxa"/>
          </w:tcPr>
          <w:p w14:paraId="3C2A18D9" w14:textId="77777777" w:rsidR="002C5903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Cefpodoxime</w:t>
            </w:r>
          </w:p>
          <w:p w14:paraId="36080B48" w14:textId="77897A4F" w:rsidR="002C5903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8 mg/kg/jour en 2 prises</w:t>
            </w:r>
          </w:p>
          <w:p w14:paraId="6F484AFF" w14:textId="6BEE9DD6" w:rsidR="002C5903" w:rsidRPr="00531B86" w:rsidRDefault="002C5903" w:rsidP="00A43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4B5F433B" w14:textId="7026284D" w:rsidR="002C5903" w:rsidRPr="00531B86" w:rsidRDefault="002562A5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Amoxicilline </w:t>
            </w:r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adulte </w:t>
            </w:r>
            <w:proofErr w:type="spellStart"/>
            <w:r w:rsidR="002C5903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1 g dispersible</w:t>
            </w:r>
            <w:r w:rsidRPr="00531B86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20A314CA" w14:textId="2CBE45FE" w:rsidR="002C5903" w:rsidRPr="00531B86" w:rsidRDefault="00454442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5903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matin et soir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,</w:t>
            </w:r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de 3 à 10 ans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,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 quel que soit le poids</w:t>
            </w:r>
          </w:p>
          <w:p w14:paraId="43720848" w14:textId="7D28AEC0" w:rsidR="00A43672" w:rsidRPr="00531B86" w:rsidRDefault="007A5F27" w:rsidP="007A5F27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</w:p>
        </w:tc>
        <w:tc>
          <w:tcPr>
            <w:tcW w:w="2037" w:type="dxa"/>
          </w:tcPr>
          <w:p w14:paraId="3241420E" w14:textId="1A5A18B2" w:rsidR="002C5903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Cefpodoxime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suspension ou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 xml:space="preserve">à défaut :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adulte écrasés de 100 mg</w:t>
            </w:r>
          </w:p>
          <w:p w14:paraId="0C8FE0F1" w14:textId="352C4841" w:rsidR="002C5903" w:rsidRPr="00531B86" w:rsidRDefault="00454442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C5903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matin et soir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21943B8" w14:textId="77777777" w:rsidR="002C5916" w:rsidRPr="00531B86" w:rsidRDefault="002C5916" w:rsidP="002C591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quel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que soit le poids</w:t>
            </w:r>
          </w:p>
          <w:p w14:paraId="0B3D3536" w14:textId="71E91709" w:rsidR="007A5F27" w:rsidRPr="00531B86" w:rsidRDefault="007A5F27" w:rsidP="007A5F27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5 jours de traitement </w:t>
            </w:r>
          </w:p>
          <w:p w14:paraId="498879B1" w14:textId="77777777" w:rsidR="002C5916" w:rsidRPr="00531B86" w:rsidRDefault="002C5916" w:rsidP="002C590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59D8B" w14:textId="5B0A3933" w:rsidR="00A43672" w:rsidRPr="00531B86" w:rsidRDefault="00A43672" w:rsidP="00A43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2AD7E673" w14:textId="77777777" w:rsidR="0049630E" w:rsidRPr="00531B86" w:rsidRDefault="008D62F2" w:rsidP="0049630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Pas de prescription sans TDR + en dehors des formes compliquées</w:t>
            </w:r>
          </w:p>
          <w:p w14:paraId="1783F0AE" w14:textId="4E746223" w:rsidR="0049630E" w:rsidRPr="00531B86" w:rsidRDefault="00A3048E" w:rsidP="0049630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49630E" w:rsidRPr="00531B86">
              <w:rPr>
                <w:rFonts w:ascii="Arial" w:hAnsi="Arial" w:cs="Arial"/>
                <w:sz w:val="20"/>
                <w:szCs w:val="20"/>
              </w:rPr>
              <w:t xml:space="preserve"> jours</w:t>
            </w:r>
            <w:r w:rsidR="007A5F27" w:rsidRPr="00531B86">
              <w:rPr>
                <w:rFonts w:ascii="Arial" w:hAnsi="Arial" w:cs="Arial"/>
                <w:sz w:val="20"/>
                <w:szCs w:val="20"/>
              </w:rPr>
              <w:t xml:space="preserve"> de traitement</w:t>
            </w:r>
          </w:p>
          <w:p w14:paraId="07DB58D3" w14:textId="0D7235D1" w:rsidR="00A93F02" w:rsidRPr="00531B86" w:rsidRDefault="00A93F02" w:rsidP="0049630E">
            <w:pPr>
              <w:pStyle w:val="Paragraphedeliste"/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La pénicilline V, n’est pas recommandée. En dehors d’une</w:t>
            </w:r>
            <w:r w:rsidR="00B21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B86">
              <w:rPr>
                <w:rFonts w:ascii="Arial" w:hAnsi="Arial" w:cs="Arial"/>
                <w:sz w:val="20"/>
                <w:szCs w:val="20"/>
              </w:rPr>
              <w:t>disponibilité insuffisante, elle impose 3 prises par jour pour une durée de 10 jours</w:t>
            </w:r>
          </w:p>
          <w:p w14:paraId="2F0EA8DC" w14:textId="2F1C1ECE" w:rsidR="0049630E" w:rsidRPr="00531B86" w:rsidRDefault="0049630E" w:rsidP="00A4367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93F02" w:rsidRPr="00200DA7" w14:paraId="0C309C2F" w14:textId="77777777" w:rsidTr="0049630E">
        <w:tc>
          <w:tcPr>
            <w:tcW w:w="1696" w:type="dxa"/>
          </w:tcPr>
          <w:p w14:paraId="10254741" w14:textId="77777777" w:rsidR="00D44FC9" w:rsidRDefault="00D44FC9" w:rsidP="00D44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Sinusite aigu</w:t>
            </w:r>
            <w:r w:rsidR="00014603"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ë</w:t>
            </w:r>
          </w:p>
          <w:p w14:paraId="22CAC73A" w14:textId="012B5079" w:rsidR="004C6370" w:rsidRPr="00531B86" w:rsidRDefault="004C6370" w:rsidP="00D44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37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C637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4C6370">
              <w:rPr>
                <w:rFonts w:ascii="Arial" w:hAnsi="Arial" w:cs="Arial"/>
                <w:sz w:val="18"/>
                <w:szCs w:val="18"/>
              </w:rPr>
              <w:t xml:space="preserve"> 1ère intention)</w:t>
            </w:r>
          </w:p>
        </w:tc>
        <w:tc>
          <w:tcPr>
            <w:tcW w:w="1985" w:type="dxa"/>
          </w:tcPr>
          <w:p w14:paraId="5849C679" w14:textId="5429EF1C" w:rsidR="00D44FC9" w:rsidRPr="00531B86" w:rsidRDefault="00D44FC9" w:rsidP="00D44FC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6B09" w:rsidRPr="00531B86">
              <w:rPr>
                <w:rFonts w:ascii="Arial" w:hAnsi="Arial" w:cs="Arial"/>
                <w:sz w:val="20"/>
                <w:szCs w:val="20"/>
              </w:rPr>
              <w:t xml:space="preserve">Les sinusites représentaient moins de 10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% </w:t>
            </w:r>
            <w:r w:rsidR="00506B09" w:rsidRPr="00531B86">
              <w:rPr>
                <w:rFonts w:ascii="Arial" w:hAnsi="Arial" w:cs="Arial"/>
                <w:sz w:val="20"/>
                <w:szCs w:val="20"/>
              </w:rPr>
              <w:t>des prescriptions d’antibiotiques considérées comme justifiées selon les recommandations officielles en France</w:t>
            </w:r>
          </w:p>
        </w:tc>
        <w:tc>
          <w:tcPr>
            <w:tcW w:w="1756" w:type="dxa"/>
          </w:tcPr>
          <w:p w14:paraId="26C48763" w14:textId="71873B89" w:rsidR="002C5903" w:rsidRPr="00531B86" w:rsidRDefault="00627E5E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627E5E">
              <w:rPr>
                <w:rFonts w:ascii="Arial" w:hAnsi="Arial" w:cs="Arial"/>
                <w:sz w:val="20"/>
                <w:szCs w:val="20"/>
              </w:rPr>
              <w:t>Amoxicilline suspension</w:t>
            </w:r>
            <w:r w:rsidR="002C5903" w:rsidRPr="00531B86">
              <w:rPr>
                <w:rFonts w:ascii="Arial" w:hAnsi="Arial" w:cs="Arial"/>
                <w:sz w:val="20"/>
                <w:szCs w:val="20"/>
              </w:rPr>
              <w:t xml:space="preserve"> buvable</w:t>
            </w:r>
          </w:p>
          <w:p w14:paraId="08D89A82" w14:textId="77777777" w:rsidR="00D44FC9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80 à 100 mg/kg/j en 2 prises/ j</w:t>
            </w:r>
          </w:p>
          <w:p w14:paraId="214FF7F6" w14:textId="56D58F85" w:rsidR="002C5916" w:rsidRPr="00531B86" w:rsidRDefault="002C5916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Pour 10 jours</w:t>
            </w:r>
          </w:p>
        </w:tc>
        <w:tc>
          <w:tcPr>
            <w:tcW w:w="1727" w:type="dxa"/>
          </w:tcPr>
          <w:p w14:paraId="312A8BA8" w14:textId="77777777" w:rsidR="002C5903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Cefpodoxime</w:t>
            </w:r>
          </w:p>
          <w:p w14:paraId="483C74F0" w14:textId="6C03E1D7" w:rsidR="002C5903" w:rsidRPr="00531B86" w:rsidRDefault="002C5903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8 mg/kg/ jour en 2 prises</w:t>
            </w:r>
          </w:p>
          <w:p w14:paraId="1F4E1ECA" w14:textId="50C5752F" w:rsidR="002C5916" w:rsidRPr="00531B86" w:rsidRDefault="002C5916" w:rsidP="002C5903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Pour 10 jours</w:t>
            </w:r>
          </w:p>
          <w:p w14:paraId="13E85057" w14:textId="46727CCC" w:rsidR="00D44FC9" w:rsidRPr="00531B86" w:rsidRDefault="00D44FC9" w:rsidP="00D44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63AE1495" w14:textId="7EDCBA6E" w:rsidR="00D44FC9" w:rsidRPr="00531B86" w:rsidRDefault="002562A5" w:rsidP="00D44FC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Amoxicilline 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adulte </w:t>
            </w:r>
            <w:proofErr w:type="spellStart"/>
            <w:r w:rsidR="00D44FC9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 1 g dispersible</w:t>
            </w:r>
          </w:p>
          <w:p w14:paraId="28587C9C" w14:textId="06AE1E57" w:rsidR="002562A5" w:rsidRPr="00531B86" w:rsidRDefault="002562A5" w:rsidP="002562A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diluer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1/2 ou 1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dans 10 ml d’eau et calculer pour une posologie de 80 /kg/j en 2 prises/ j</w:t>
            </w:r>
          </w:p>
          <w:p w14:paraId="525EE761" w14:textId="744A37AA" w:rsidR="002562A5" w:rsidRPr="00531B86" w:rsidRDefault="007A5F27" w:rsidP="00D44FC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</w:p>
        </w:tc>
        <w:tc>
          <w:tcPr>
            <w:tcW w:w="2037" w:type="dxa"/>
          </w:tcPr>
          <w:p w14:paraId="668309D5" w14:textId="77777777" w:rsidR="00C40EB1" w:rsidRPr="00531B86" w:rsidRDefault="00D44FC9" w:rsidP="00C40EB1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Cefpodoxime suspension ou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 xml:space="preserve">à défaut :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adulte écrasé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 xml:space="preserve"> de 100 mg</w:t>
            </w:r>
          </w:p>
          <w:p w14:paraId="4C1D29C3" w14:textId="1B7F5A1C" w:rsidR="00C40EB1" w:rsidRPr="00531B86" w:rsidRDefault="00C40EB1" w:rsidP="00C40EB1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1/2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matin et soir,</w:t>
            </w:r>
          </w:p>
          <w:p w14:paraId="15D80193" w14:textId="5E467C3A" w:rsidR="00C40EB1" w:rsidRPr="00531B86" w:rsidRDefault="00C40EB1" w:rsidP="00C40EB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quel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que soit le poids</w:t>
            </w:r>
          </w:p>
          <w:p w14:paraId="5118A67E" w14:textId="39B81F6B" w:rsidR="007A5F27" w:rsidRPr="00531B86" w:rsidRDefault="007A5F27" w:rsidP="00C40EB1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</w:p>
          <w:p w14:paraId="1DDF62E9" w14:textId="74E8FF79" w:rsidR="00D44FC9" w:rsidRPr="00531B86" w:rsidRDefault="00D44FC9" w:rsidP="00D44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6" w:type="dxa"/>
          </w:tcPr>
          <w:p w14:paraId="3887E102" w14:textId="12A7871F" w:rsidR="00C40EB1" w:rsidRPr="00531B86" w:rsidRDefault="00C40EB1" w:rsidP="00531B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D57005" w14:textId="77777777" w:rsidR="007A5F27" w:rsidRPr="00531B86" w:rsidRDefault="00C40EB1" w:rsidP="00D44FC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ntibiothérapie différée à privilégier,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réserver la prescription 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d’emblée </w:t>
            </w:r>
            <w:r w:rsidRPr="00531B86">
              <w:rPr>
                <w:rFonts w:ascii="Arial" w:hAnsi="Arial" w:cs="Arial"/>
                <w:sz w:val="20"/>
                <w:szCs w:val="20"/>
              </w:rPr>
              <w:t>aux formes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 compliquée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 et</w:t>
            </w:r>
            <w:r w:rsidR="000B3659" w:rsidRPr="00531B86">
              <w:rPr>
                <w:rFonts w:ascii="Arial" w:hAnsi="Arial" w:cs="Arial"/>
                <w:sz w:val="20"/>
                <w:szCs w:val="20"/>
              </w:rPr>
              <w:t>/ou</w:t>
            </w:r>
            <w:r w:rsidR="00D44FC9" w:rsidRPr="00531B86">
              <w:rPr>
                <w:rFonts w:ascii="Arial" w:hAnsi="Arial" w:cs="Arial"/>
                <w:sz w:val="20"/>
                <w:szCs w:val="20"/>
              </w:rPr>
              <w:t xml:space="preserve"> très symptomatique</w:t>
            </w:r>
            <w:r w:rsidRPr="00531B86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658478D8" w14:textId="77777777" w:rsidR="00D44FC9" w:rsidRPr="00531B86" w:rsidRDefault="007A5F27" w:rsidP="00D44FC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5 jours de traitement </w:t>
            </w:r>
          </w:p>
          <w:p w14:paraId="1DE242FD" w14:textId="2C6837EE" w:rsidR="00694600" w:rsidRPr="00531B86" w:rsidRDefault="00694600" w:rsidP="00D44FC9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Les macrolides ne sont pas conseillé</w:t>
            </w:r>
            <w:r w:rsidR="00200DA7" w:rsidRPr="00531B86">
              <w:rPr>
                <w:rFonts w:ascii="Arial" w:hAnsi="Arial" w:cs="Arial"/>
                <w:sz w:val="20"/>
                <w:szCs w:val="20"/>
              </w:rPr>
              <w:t>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3BC2">
              <w:rPr>
                <w:rFonts w:ascii="Arial" w:hAnsi="Arial" w:cs="Arial"/>
                <w:sz w:val="20"/>
                <w:szCs w:val="20"/>
              </w:rPr>
              <w:t xml:space="preserve">du fait de leur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activité médiocre sur </w:t>
            </w:r>
            <w:r w:rsidRPr="00531B86">
              <w:rPr>
                <w:rFonts w:ascii="Arial" w:hAnsi="Arial" w:cs="Arial"/>
                <w:i/>
                <w:iCs/>
                <w:sz w:val="20"/>
                <w:szCs w:val="20"/>
              </w:rPr>
              <w:t>H. influenzae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et 20 à 30%</w:t>
            </w:r>
            <w:r w:rsidR="00A93B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1B86">
              <w:rPr>
                <w:rFonts w:ascii="Arial" w:hAnsi="Arial" w:cs="Arial"/>
                <w:sz w:val="20"/>
                <w:szCs w:val="20"/>
              </w:rPr>
              <w:t>des pneumocoques y sont résistant.</w:t>
            </w:r>
          </w:p>
        </w:tc>
      </w:tr>
      <w:tr w:rsidR="00A93F02" w:rsidRPr="00200DA7" w14:paraId="290B7B31" w14:textId="77777777" w:rsidTr="0049630E">
        <w:tc>
          <w:tcPr>
            <w:tcW w:w="1696" w:type="dxa"/>
          </w:tcPr>
          <w:p w14:paraId="1F1D3832" w14:textId="77777777" w:rsidR="00506B09" w:rsidRDefault="00506B09" w:rsidP="0050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Pneumonie </w:t>
            </w:r>
          </w:p>
          <w:p w14:paraId="5BB046C5" w14:textId="3F01A2D1" w:rsidR="004C6370" w:rsidRPr="00531B86" w:rsidRDefault="004C6370" w:rsidP="0050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37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C637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4C6370">
              <w:rPr>
                <w:rFonts w:ascii="Arial" w:hAnsi="Arial" w:cs="Arial"/>
                <w:sz w:val="18"/>
                <w:szCs w:val="18"/>
              </w:rPr>
              <w:t xml:space="preserve"> 1ère intention)</w:t>
            </w:r>
          </w:p>
        </w:tc>
        <w:tc>
          <w:tcPr>
            <w:tcW w:w="1985" w:type="dxa"/>
          </w:tcPr>
          <w:p w14:paraId="1497CB16" w14:textId="3D26FF20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 Les pneumonies représentaient moins de 5 % des prescriptions d’antibiotiques considérées comme justifiées selon les recommandations </w:t>
            </w:r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>officielles en France</w:t>
            </w:r>
          </w:p>
        </w:tc>
        <w:tc>
          <w:tcPr>
            <w:tcW w:w="1756" w:type="dxa"/>
          </w:tcPr>
          <w:p w14:paraId="2CFC315D" w14:textId="77777777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>Amoxicilline  suspension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buvable</w:t>
            </w:r>
          </w:p>
          <w:p w14:paraId="2037BF3A" w14:textId="077E15F4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80 à 100 mg/kg/j en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>3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prises</w:t>
            </w:r>
          </w:p>
          <w:p w14:paraId="1E56C477" w14:textId="3DB80EF4" w:rsidR="002C5916" w:rsidRPr="00531B86" w:rsidRDefault="002C5916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Pour 5 jours</w:t>
            </w:r>
          </w:p>
        </w:tc>
        <w:tc>
          <w:tcPr>
            <w:tcW w:w="1727" w:type="dxa"/>
          </w:tcPr>
          <w:p w14:paraId="56E05114" w14:textId="3194913E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Ceftriaxone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50 mg/kg/j </w:t>
            </w:r>
            <w:r w:rsidR="00627E5E" w:rsidRPr="00F125F9">
              <w:rPr>
                <w:rFonts w:ascii="Arial" w:hAnsi="Arial" w:cs="Arial"/>
                <w:sz w:val="20"/>
                <w:szCs w:val="20"/>
              </w:rPr>
              <w:t>1 IVL/j</w:t>
            </w:r>
          </w:p>
          <w:p w14:paraId="78582D95" w14:textId="77777777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(3 jours de traitement)</w:t>
            </w:r>
          </w:p>
          <w:p w14:paraId="5CD5FEE7" w14:textId="77777777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BBC8EC" w14:textId="69D99FD8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2" w:type="dxa"/>
          </w:tcPr>
          <w:p w14:paraId="30AB6260" w14:textId="25B2D7CC" w:rsidR="00506B09" w:rsidRPr="00531B86" w:rsidRDefault="002562A5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Amoxicilline </w:t>
            </w:r>
            <w:r w:rsidR="00506B09" w:rsidRPr="00531B86">
              <w:rPr>
                <w:rFonts w:ascii="Arial" w:hAnsi="Arial" w:cs="Arial"/>
                <w:sz w:val="20"/>
                <w:szCs w:val="20"/>
              </w:rPr>
              <w:t xml:space="preserve">adulte </w:t>
            </w:r>
            <w:proofErr w:type="spellStart"/>
            <w:r w:rsidR="00506B09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506B09" w:rsidRPr="00531B86">
              <w:rPr>
                <w:rFonts w:ascii="Arial" w:hAnsi="Arial" w:cs="Arial"/>
                <w:sz w:val="20"/>
                <w:szCs w:val="20"/>
              </w:rPr>
              <w:t xml:space="preserve"> 1 g dispersible</w:t>
            </w:r>
          </w:p>
          <w:p w14:paraId="0CECE3C3" w14:textId="3FF77AE4" w:rsidR="002C5916" w:rsidRPr="00531B86" w:rsidRDefault="00506B09" w:rsidP="002C5916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-</w:t>
            </w:r>
            <w:r w:rsidR="002562A5" w:rsidRPr="00531B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31B86">
              <w:rPr>
                <w:rFonts w:ascii="Arial" w:hAnsi="Arial" w:cs="Arial"/>
                <w:sz w:val="20"/>
                <w:szCs w:val="20"/>
              </w:rPr>
              <w:t>8 à 1</w:t>
            </w:r>
            <w:r w:rsidR="002439AB">
              <w:rPr>
                <w:rFonts w:ascii="Arial" w:hAnsi="Arial" w:cs="Arial"/>
                <w:sz w:val="20"/>
                <w:szCs w:val="20"/>
              </w:rPr>
              <w:t>2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kg = </w:t>
            </w:r>
            <w:r w:rsidR="00454442" w:rsidRPr="00531B86">
              <w:rPr>
                <w:rFonts w:ascii="Arial" w:hAnsi="Arial" w:cs="Arial"/>
                <w:sz w:val="20"/>
                <w:szCs w:val="20"/>
              </w:rPr>
              <w:t>1/2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matin et soir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>en 2 prises journalière</w:t>
            </w:r>
            <w:r w:rsidR="002562A5" w:rsidRPr="00531B86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37EC4E2E" w14:textId="7D618AB3" w:rsidR="002C5916" w:rsidRPr="00531B86" w:rsidRDefault="002562A5" w:rsidP="002C5916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>En dessous ou au-dessus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diluer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lastRenderedPageBreak/>
              <w:t>1/2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 ou 1 </w:t>
            </w:r>
            <w:proofErr w:type="spellStart"/>
            <w:r w:rsidR="002C5916" w:rsidRPr="00531B86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2C5916" w:rsidRPr="00531B86">
              <w:rPr>
                <w:rFonts w:ascii="Arial" w:hAnsi="Arial" w:cs="Arial"/>
                <w:sz w:val="20"/>
                <w:szCs w:val="20"/>
              </w:rPr>
              <w:t xml:space="preserve"> dans 10 ml d’eau et calculer 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pour </w:t>
            </w:r>
            <w:r w:rsidR="002C5916" w:rsidRPr="00531B86">
              <w:rPr>
                <w:rFonts w:ascii="Arial" w:hAnsi="Arial" w:cs="Arial"/>
                <w:sz w:val="20"/>
                <w:szCs w:val="20"/>
              </w:rPr>
              <w:t>une posologie de 80 à 100 mg/kg/j en 2 prises/</w:t>
            </w:r>
            <w:r w:rsidR="007A5F27" w:rsidRPr="00531B86">
              <w:rPr>
                <w:rFonts w:ascii="Arial" w:hAnsi="Arial" w:cs="Arial"/>
                <w:sz w:val="20"/>
                <w:szCs w:val="20"/>
              </w:rPr>
              <w:t>j</w:t>
            </w:r>
          </w:p>
          <w:p w14:paraId="2212F036" w14:textId="4B9612C5" w:rsidR="007A5F27" w:rsidRPr="00531B86" w:rsidRDefault="007A5F27" w:rsidP="002C5916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</w:p>
          <w:p w14:paraId="1C17C859" w14:textId="088021E9" w:rsidR="002C5916" w:rsidRPr="00531B86" w:rsidRDefault="002C5916" w:rsidP="002C59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</w:tcPr>
          <w:p w14:paraId="4DAD3F59" w14:textId="1821FEAC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 xml:space="preserve">Ceftriaxone 500 mg à 1000 mg/j en ƒ° du poids </w:t>
            </w:r>
          </w:p>
          <w:p w14:paraId="3F268633" w14:textId="569A207C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(3 jours de traitement)</w:t>
            </w:r>
          </w:p>
          <w:p w14:paraId="71DD29B5" w14:textId="3549DABE" w:rsidR="003164A5" w:rsidRPr="00531B86" w:rsidRDefault="003164A5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Après 6 ans</w:t>
            </w:r>
          </w:p>
          <w:p w14:paraId="06463A36" w14:textId="14325360" w:rsidR="00506B09" w:rsidRPr="00531B86" w:rsidRDefault="00627E5E" w:rsidP="00506B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Pristinamycine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39D8F26" w14:textId="69B5357B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50 mg/ </w:t>
            </w:r>
            <w:r w:rsidR="00B21DBD">
              <w:rPr>
                <w:rFonts w:ascii="Arial" w:hAnsi="Arial" w:cs="Arial"/>
                <w:sz w:val="20"/>
                <w:szCs w:val="20"/>
              </w:rPr>
              <w:t>k</w:t>
            </w:r>
            <w:r w:rsidRPr="00531B86">
              <w:rPr>
                <w:rFonts w:ascii="Arial" w:hAnsi="Arial" w:cs="Arial"/>
                <w:sz w:val="20"/>
                <w:szCs w:val="20"/>
              </w:rPr>
              <w:t>g/j en 3 prises pour 5 j</w:t>
            </w:r>
          </w:p>
          <w:p w14:paraId="658612C7" w14:textId="730C7574" w:rsidR="003164A5" w:rsidRPr="00531B86" w:rsidRDefault="003164A5" w:rsidP="00506B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>ou</w:t>
            </w:r>
            <w:proofErr w:type="gramEnd"/>
          </w:p>
          <w:p w14:paraId="56CA202B" w14:textId="4A7963E2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Clindamycine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(gélule)</w:t>
            </w:r>
          </w:p>
          <w:p w14:paraId="1D0EB22F" w14:textId="77777777" w:rsidR="007A5F27" w:rsidRPr="00531B86" w:rsidRDefault="007A5F27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5 jours de traitement</w:t>
            </w:r>
          </w:p>
          <w:p w14:paraId="771D2794" w14:textId="4002E2D2" w:rsidR="003164A5" w:rsidRPr="00531B86" w:rsidRDefault="003164A5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40 mg/kg/j en 3 prises pour 5 jours </w:t>
            </w:r>
          </w:p>
        </w:tc>
        <w:tc>
          <w:tcPr>
            <w:tcW w:w="3826" w:type="dxa"/>
          </w:tcPr>
          <w:p w14:paraId="3D384CB7" w14:textId="051AB7A3" w:rsidR="00506B09" w:rsidRPr="00531B86" w:rsidRDefault="00506B09" w:rsidP="00506B0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lastRenderedPageBreak/>
              <w:t xml:space="preserve">Renforcer les critères diagnostiques : CRP ou PCT et/ou 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 xml:space="preserve">radiographie et/ou </w:t>
            </w:r>
            <w:r w:rsidRPr="00531B86">
              <w:rPr>
                <w:rFonts w:ascii="Arial" w:hAnsi="Arial" w:cs="Arial"/>
                <w:sz w:val="20"/>
                <w:szCs w:val="20"/>
              </w:rPr>
              <w:t>échographie</w:t>
            </w:r>
            <w:r w:rsidR="000B3659" w:rsidRPr="00531B86">
              <w:rPr>
                <w:rFonts w:ascii="Arial" w:hAnsi="Arial" w:cs="Arial"/>
                <w:sz w:val="20"/>
                <w:szCs w:val="20"/>
              </w:rPr>
              <w:t xml:space="preserve"> pulmonaire</w:t>
            </w:r>
          </w:p>
          <w:p w14:paraId="5F87F740" w14:textId="4C373D5E" w:rsidR="00506B09" w:rsidRPr="00531B86" w:rsidRDefault="00506B09" w:rsidP="007A5F27">
            <w:pPr>
              <w:pStyle w:val="Paragraphedeliste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DA7" w:rsidRPr="00200DA7" w14:paraId="0B467642" w14:textId="77777777" w:rsidTr="0049630E">
        <w:tc>
          <w:tcPr>
            <w:tcW w:w="1696" w:type="dxa"/>
          </w:tcPr>
          <w:p w14:paraId="126EADE8" w14:textId="77777777" w:rsidR="00506B09" w:rsidRDefault="00506B09" w:rsidP="0050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1B86">
              <w:rPr>
                <w:rFonts w:ascii="Arial" w:hAnsi="Arial" w:cs="Arial"/>
                <w:b/>
                <w:bCs/>
                <w:sz w:val="20"/>
                <w:szCs w:val="20"/>
              </w:rPr>
              <w:t>Pyélonéphrite</w:t>
            </w:r>
          </w:p>
          <w:p w14:paraId="3881CAE9" w14:textId="3B124FEF" w:rsidR="004C6370" w:rsidRPr="00531B86" w:rsidRDefault="004C6370" w:rsidP="00506B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370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4C6370">
              <w:rPr>
                <w:rFonts w:ascii="Arial" w:hAnsi="Arial" w:cs="Arial"/>
                <w:sz w:val="18"/>
                <w:szCs w:val="18"/>
              </w:rPr>
              <w:t>en</w:t>
            </w:r>
            <w:proofErr w:type="gramEnd"/>
            <w:r w:rsidRPr="004C6370">
              <w:rPr>
                <w:rFonts w:ascii="Arial" w:hAnsi="Arial" w:cs="Arial"/>
                <w:sz w:val="18"/>
                <w:szCs w:val="18"/>
              </w:rPr>
              <w:t xml:space="preserve"> 1ère intention)</w:t>
            </w:r>
          </w:p>
        </w:tc>
        <w:tc>
          <w:tcPr>
            <w:tcW w:w="1985" w:type="dxa"/>
          </w:tcPr>
          <w:p w14:paraId="66522AC1" w14:textId="776E202C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Les pyélonéphrites représentaient moins de 5 % des prescriptions d’antibiotiques considérées comme justifiées selon les recommandations officielles en France</w:t>
            </w:r>
          </w:p>
        </w:tc>
        <w:tc>
          <w:tcPr>
            <w:tcW w:w="3483" w:type="dxa"/>
            <w:gridSpan w:val="2"/>
          </w:tcPr>
          <w:p w14:paraId="08B9C181" w14:textId="6E2688BE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i/>
                <w:iCs/>
                <w:sz w:val="20"/>
                <w:szCs w:val="20"/>
              </w:rPr>
              <w:t>Traitement initial</w:t>
            </w:r>
            <w:r w:rsidR="00627E5E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627E5E" w:rsidRPr="00F125F9">
              <w:rPr>
                <w:rFonts w:ascii="Arial" w:hAnsi="Arial" w:cs="Arial"/>
                <w:sz w:val="20"/>
                <w:szCs w:val="20"/>
              </w:rPr>
              <w:t>(2 à 3 jours</w:t>
            </w:r>
            <w:r w:rsidR="00627E5E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94131DA" w14:textId="67D1A4F2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Amikacine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20 mg/kg/j en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1 IVL/j </w:t>
            </w:r>
          </w:p>
          <w:p w14:paraId="352256AE" w14:textId="70B1BC04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Ceftri</w:t>
            </w:r>
            <w:r w:rsidR="00627E5E">
              <w:rPr>
                <w:rFonts w:ascii="Arial" w:hAnsi="Arial" w:cs="Arial"/>
                <w:sz w:val="20"/>
                <w:szCs w:val="20"/>
              </w:rPr>
              <w:t>a</w:t>
            </w:r>
            <w:r w:rsidRPr="00531B86">
              <w:rPr>
                <w:rFonts w:ascii="Arial" w:hAnsi="Arial" w:cs="Arial"/>
                <w:sz w:val="20"/>
                <w:szCs w:val="20"/>
              </w:rPr>
              <w:t>xone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50 mg/kg/j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1 IVL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/j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ou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531B86">
              <w:rPr>
                <w:rFonts w:ascii="Arial" w:hAnsi="Arial" w:cs="Arial"/>
                <w:sz w:val="20"/>
                <w:szCs w:val="20"/>
              </w:rPr>
              <w:t>IM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/j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1642CED" w14:textId="6D86D911" w:rsidR="00506B09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Céfixime 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>suspension</w:t>
            </w:r>
            <w:r w:rsidR="00627E5E">
              <w:rPr>
                <w:rFonts w:ascii="Arial" w:hAnsi="Arial" w:cs="Arial"/>
                <w:sz w:val="20"/>
                <w:szCs w:val="20"/>
              </w:rPr>
              <w:t> : 8 mg/kg/j en 2 prises</w:t>
            </w:r>
          </w:p>
          <w:p w14:paraId="03923030" w14:textId="77777777" w:rsidR="00627E5E" w:rsidRPr="00531B86" w:rsidRDefault="00627E5E" w:rsidP="00506B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C4028" w14:textId="77777777" w:rsidR="00506B09" w:rsidRPr="00531B86" w:rsidRDefault="00506B09" w:rsidP="00506B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1B86">
              <w:rPr>
                <w:rFonts w:ascii="Arial" w:hAnsi="Arial" w:cs="Arial"/>
                <w:i/>
                <w:iCs/>
                <w:sz w:val="20"/>
                <w:szCs w:val="20"/>
              </w:rPr>
              <w:t>Relais oral</w:t>
            </w:r>
          </w:p>
          <w:p w14:paraId="05D64A5A" w14:textId="46AFF4F1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ƒ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>° sensibilité aux antibiotiques)</w:t>
            </w:r>
          </w:p>
          <w:p w14:paraId="4F9EC58E" w14:textId="14FDC5C4" w:rsidR="00627E5E" w:rsidRPr="00F125F9" w:rsidRDefault="00506B09" w:rsidP="00627E5E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Cotrimoxazole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 xml:space="preserve"> suspension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 : 30 mg/kg/j de </w:t>
            </w:r>
            <w:proofErr w:type="spellStart"/>
            <w:r w:rsidR="00627E5E">
              <w:rPr>
                <w:rFonts w:ascii="Arial" w:hAnsi="Arial" w:cs="Arial"/>
                <w:sz w:val="20"/>
                <w:szCs w:val="20"/>
              </w:rPr>
              <w:t>sulfaméthoxazole</w:t>
            </w:r>
            <w:proofErr w:type="spellEnd"/>
            <w:r w:rsidR="00627E5E">
              <w:rPr>
                <w:rFonts w:ascii="Arial" w:hAnsi="Arial" w:cs="Arial"/>
                <w:sz w:val="20"/>
                <w:szCs w:val="20"/>
              </w:rPr>
              <w:t xml:space="preserve"> en 2 prises</w:t>
            </w:r>
          </w:p>
          <w:p w14:paraId="08EF1B77" w14:textId="6D397086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EFE401" w14:textId="69424581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9" w:type="dxa"/>
            <w:gridSpan w:val="2"/>
          </w:tcPr>
          <w:p w14:paraId="68DB8190" w14:textId="77777777" w:rsidR="00506B09" w:rsidRPr="00531B86" w:rsidRDefault="00506B09" w:rsidP="00506B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1B86">
              <w:rPr>
                <w:rFonts w:ascii="Arial" w:hAnsi="Arial" w:cs="Arial"/>
                <w:i/>
                <w:iCs/>
                <w:sz w:val="20"/>
                <w:szCs w:val="20"/>
              </w:rPr>
              <w:t>Traitement initial</w:t>
            </w:r>
          </w:p>
          <w:p w14:paraId="48066B5F" w14:textId="77777777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Amikacine IV</w:t>
            </w:r>
          </w:p>
          <w:p w14:paraId="3951F13B" w14:textId="210FAA7D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Ceftri</w:t>
            </w:r>
            <w:r w:rsidR="00627E5E">
              <w:rPr>
                <w:rFonts w:ascii="Arial" w:hAnsi="Arial" w:cs="Arial"/>
                <w:sz w:val="20"/>
                <w:szCs w:val="20"/>
              </w:rPr>
              <w:t>a</w:t>
            </w:r>
            <w:r w:rsidRPr="00531B86">
              <w:rPr>
                <w:rFonts w:ascii="Arial" w:hAnsi="Arial" w:cs="Arial"/>
                <w:sz w:val="20"/>
                <w:szCs w:val="20"/>
              </w:rPr>
              <w:t>xone IV ou IM</w:t>
            </w:r>
          </w:p>
          <w:p w14:paraId="524E3D38" w14:textId="48273208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prolonger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 xml:space="preserve"> le traitement par voie parentérale à 5 jours</w:t>
            </w:r>
            <w:r w:rsidR="00014603" w:rsidRPr="00531B8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56E28C" w14:textId="77777777" w:rsidR="00506B09" w:rsidRPr="00531B86" w:rsidRDefault="00506B09" w:rsidP="00506B0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1B86">
              <w:rPr>
                <w:rFonts w:ascii="Arial" w:hAnsi="Arial" w:cs="Arial"/>
                <w:i/>
                <w:iCs/>
                <w:sz w:val="20"/>
                <w:szCs w:val="20"/>
              </w:rPr>
              <w:t>Relais oral</w:t>
            </w:r>
          </w:p>
          <w:p w14:paraId="383E1B35" w14:textId="16C25180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531B86">
              <w:rPr>
                <w:rFonts w:ascii="Arial" w:hAnsi="Arial" w:cs="Arial"/>
                <w:sz w:val="20"/>
                <w:szCs w:val="20"/>
              </w:rPr>
              <w:t>ƒ</w:t>
            </w:r>
            <w:proofErr w:type="gramEnd"/>
            <w:r w:rsidRPr="00531B86">
              <w:rPr>
                <w:rFonts w:ascii="Arial" w:hAnsi="Arial" w:cs="Arial"/>
                <w:sz w:val="20"/>
                <w:szCs w:val="20"/>
              </w:rPr>
              <w:t>° sensibilité aux antibiotiques)</w:t>
            </w:r>
          </w:p>
          <w:p w14:paraId="37BD6528" w14:textId="4AE79F94" w:rsidR="00E72D4C" w:rsidRPr="00531B86" w:rsidRDefault="00E72D4C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Cotrimoxazole (</w:t>
            </w:r>
            <w:proofErr w:type="spellStart"/>
            <w:r w:rsidR="002439AB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Pr="00531B86">
              <w:rPr>
                <w:rFonts w:ascii="Arial" w:hAnsi="Arial" w:cs="Arial"/>
                <w:sz w:val="20"/>
                <w:szCs w:val="20"/>
              </w:rPr>
              <w:t xml:space="preserve"> adulte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400 mg) </w:t>
            </w:r>
            <w:r w:rsidRPr="00531B86">
              <w:rPr>
                <w:rFonts w:ascii="Arial" w:hAnsi="Arial" w:cs="Arial"/>
                <w:sz w:val="20"/>
                <w:szCs w:val="20"/>
              </w:rPr>
              <w:t>adapté au poids de l’enfant (lien)</w:t>
            </w:r>
          </w:p>
          <w:p w14:paraId="3E2E2FB0" w14:textId="1AE730D4" w:rsidR="00E72D4C" w:rsidRPr="00531B86" w:rsidRDefault="00506B09" w:rsidP="00E72D4C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 xml:space="preserve">Céfixime 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2439AB">
              <w:rPr>
                <w:rFonts w:ascii="Arial" w:hAnsi="Arial" w:cs="Arial"/>
                <w:sz w:val="20"/>
                <w:szCs w:val="20"/>
              </w:rPr>
              <w:t>cp</w:t>
            </w:r>
            <w:proofErr w:type="spellEnd"/>
            <w:r w:rsidR="00E72D4C" w:rsidRPr="00531B86">
              <w:rPr>
                <w:rFonts w:ascii="Arial" w:hAnsi="Arial" w:cs="Arial"/>
                <w:sz w:val="20"/>
                <w:szCs w:val="20"/>
              </w:rPr>
              <w:t xml:space="preserve"> adulte</w:t>
            </w:r>
            <w:r w:rsidR="00627E5E">
              <w:rPr>
                <w:rFonts w:ascii="Arial" w:hAnsi="Arial" w:cs="Arial"/>
                <w:sz w:val="20"/>
                <w:szCs w:val="20"/>
              </w:rPr>
              <w:t xml:space="preserve"> 200mg</w:t>
            </w:r>
            <w:r w:rsidR="002439AB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>adapté au poids de l’enfant (lien)</w:t>
            </w:r>
          </w:p>
          <w:p w14:paraId="524DAB53" w14:textId="2DA0B158" w:rsidR="00506B09" w:rsidRPr="00531B86" w:rsidRDefault="00506B09" w:rsidP="00506B09">
            <w:pPr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Amoxicilline</w:t>
            </w:r>
          </w:p>
        </w:tc>
        <w:tc>
          <w:tcPr>
            <w:tcW w:w="3826" w:type="dxa"/>
          </w:tcPr>
          <w:p w14:paraId="6BFC1E38" w14:textId="226754FF" w:rsidR="00506B09" w:rsidRPr="00531B86" w:rsidRDefault="00506B09" w:rsidP="00506B0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Renforcer les critères diagnostiques : Pas d’ECBU sans bandelette urinaire positive</w:t>
            </w:r>
            <w:r w:rsidR="00EE6DF5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>préalable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 (Nitrites et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/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ou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L</w:t>
            </w:r>
            <w:r w:rsidRPr="00531B86">
              <w:rPr>
                <w:rFonts w:ascii="Arial" w:hAnsi="Arial" w:cs="Arial"/>
                <w:sz w:val="20"/>
                <w:szCs w:val="20"/>
              </w:rPr>
              <w:t>eucocytes</w:t>
            </w:r>
            <w:r w:rsidR="00EE6DF5" w:rsidRPr="00531B86">
              <w:rPr>
                <w:rFonts w:ascii="Arial" w:hAnsi="Arial" w:cs="Arial"/>
                <w:sz w:val="20"/>
                <w:szCs w:val="20"/>
              </w:rPr>
              <w:t>)</w:t>
            </w:r>
            <w:r w:rsidRPr="00531B86">
              <w:rPr>
                <w:rFonts w:ascii="Arial" w:hAnsi="Arial" w:cs="Arial"/>
                <w:sz w:val="20"/>
                <w:szCs w:val="20"/>
              </w:rPr>
              <w:t>, privilégier les méthodes de prélèvements d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’</w:t>
            </w:r>
            <w:r w:rsidRPr="00531B86">
              <w:rPr>
                <w:rFonts w:ascii="Arial" w:hAnsi="Arial" w:cs="Arial"/>
                <w:sz w:val="20"/>
                <w:szCs w:val="20"/>
              </w:rPr>
              <w:t xml:space="preserve">urines les plus fiables </w:t>
            </w:r>
            <w:r w:rsidR="00C40EB1" w:rsidRPr="00531B86">
              <w:rPr>
                <w:rFonts w:ascii="Arial" w:hAnsi="Arial" w:cs="Arial"/>
                <w:sz w:val="20"/>
                <w:szCs w:val="20"/>
              </w:rPr>
              <w:t>(sondage, milieu de jet)</w:t>
            </w:r>
          </w:p>
          <w:p w14:paraId="74BFCD03" w14:textId="492EDF47" w:rsidR="009825C8" w:rsidRPr="00531B86" w:rsidRDefault="00694600" w:rsidP="00506B09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1B86">
              <w:rPr>
                <w:rFonts w:ascii="Arial" w:hAnsi="Arial" w:cs="Arial"/>
                <w:sz w:val="20"/>
                <w:szCs w:val="20"/>
              </w:rPr>
              <w:t>L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>es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25C8" w:rsidRPr="00531B86">
              <w:rPr>
                <w:rFonts w:ascii="Arial" w:hAnsi="Arial" w:cs="Arial"/>
                <w:sz w:val="20"/>
                <w:szCs w:val="20"/>
              </w:rPr>
              <w:t xml:space="preserve">fluoroquinolones </w:t>
            </w:r>
            <w:r w:rsidRPr="00531B86">
              <w:rPr>
                <w:rFonts w:ascii="Arial" w:hAnsi="Arial" w:cs="Arial"/>
                <w:sz w:val="20"/>
                <w:szCs w:val="20"/>
              </w:rPr>
              <w:t>(ciprofloxacine</w:t>
            </w:r>
            <w:r w:rsidR="00E72D4C" w:rsidRPr="00531B86">
              <w:rPr>
                <w:rFonts w:ascii="Arial" w:hAnsi="Arial" w:cs="Arial"/>
                <w:sz w:val="20"/>
                <w:szCs w:val="20"/>
              </w:rPr>
              <w:t>) ne peuvent être prescrites que si l’antibiogramme ne permet aucune autre alternative)</w:t>
            </w:r>
          </w:p>
        </w:tc>
      </w:tr>
    </w:tbl>
    <w:p w14:paraId="579FF2F4" w14:textId="32F1ABD3" w:rsidR="006512CF" w:rsidRPr="00531B86" w:rsidRDefault="006512CF">
      <w:pPr>
        <w:rPr>
          <w:rFonts w:ascii="Arial" w:hAnsi="Arial" w:cs="Arial"/>
          <w:sz w:val="22"/>
          <w:szCs w:val="22"/>
        </w:rPr>
      </w:pPr>
    </w:p>
    <w:p w14:paraId="7C59831C" w14:textId="5BE18C0F" w:rsidR="0079460A" w:rsidRPr="00531B86" w:rsidRDefault="0079460A">
      <w:pPr>
        <w:rPr>
          <w:rFonts w:ascii="Arial" w:hAnsi="Arial" w:cs="Arial"/>
          <w:sz w:val="22"/>
          <w:szCs w:val="22"/>
        </w:rPr>
      </w:pPr>
    </w:p>
    <w:p w14:paraId="489FF991" w14:textId="77777777" w:rsidR="0079460A" w:rsidRPr="00531B86" w:rsidRDefault="0079460A">
      <w:pPr>
        <w:rPr>
          <w:rFonts w:ascii="Arial" w:hAnsi="Arial" w:cs="Arial"/>
          <w:sz w:val="22"/>
          <w:szCs w:val="22"/>
        </w:rPr>
      </w:pPr>
    </w:p>
    <w:p w14:paraId="22F619B6" w14:textId="5C44F035" w:rsidR="0079460A" w:rsidRPr="00531B86" w:rsidRDefault="0079460A" w:rsidP="004C6370">
      <w:r w:rsidRPr="00531B86">
        <w:t>Les propositions de dilution pour l’amoxicilline et l’</w:t>
      </w:r>
      <w:proofErr w:type="spellStart"/>
      <w:r w:rsidRPr="00531B86">
        <w:t>amox</w:t>
      </w:r>
      <w:r w:rsidR="00B21DBD">
        <w:t>i</w:t>
      </w:r>
      <w:r w:rsidRPr="00531B86">
        <w:t>-clav</w:t>
      </w:r>
      <w:proofErr w:type="spellEnd"/>
      <w:r w:rsidRPr="00531B86">
        <w:t xml:space="preserve"> faite</w:t>
      </w:r>
      <w:r w:rsidR="00627E5E">
        <w:t>s</w:t>
      </w:r>
      <w:r w:rsidRPr="00531B86">
        <w:t xml:space="preserve"> par l’équipe de Trousseau (</w:t>
      </w:r>
      <w:r w:rsidRPr="00531B86">
        <w:rPr>
          <w:color w:val="FF0000"/>
        </w:rPr>
        <w:t>Doc joint</w:t>
      </w:r>
      <w:r w:rsidR="004B5DC2" w:rsidRPr="00531B86">
        <w:rPr>
          <w:color w:val="FF0000"/>
        </w:rPr>
        <w:t xml:space="preserve"> 1</w:t>
      </w:r>
      <w:r w:rsidRPr="00531B86">
        <w:t>)</w:t>
      </w:r>
    </w:p>
    <w:p w14:paraId="0B165B51" w14:textId="77777777" w:rsidR="00531B86" w:rsidRPr="004C6370" w:rsidRDefault="00531B86" w:rsidP="004C6370">
      <w:pPr>
        <w:rPr>
          <w:rFonts w:ascii="Arial" w:hAnsi="Arial" w:cs="Arial"/>
          <w:sz w:val="22"/>
          <w:szCs w:val="22"/>
        </w:rPr>
      </w:pPr>
    </w:p>
    <w:p w14:paraId="23FD8BA2" w14:textId="77777777" w:rsidR="0079460A" w:rsidRPr="00531B86" w:rsidRDefault="0079460A" w:rsidP="004C6370">
      <w:pPr>
        <w:pStyle w:val="Paragraphedeliste"/>
        <w:rPr>
          <w:rFonts w:ascii="Arial" w:hAnsi="Arial" w:cs="Arial"/>
        </w:rPr>
      </w:pPr>
    </w:p>
    <w:sectPr w:rsidR="0079460A" w:rsidRPr="00531B86" w:rsidSect="000431A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572"/>
    <w:multiLevelType w:val="hybridMultilevel"/>
    <w:tmpl w:val="298AE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A280A"/>
    <w:multiLevelType w:val="hybridMultilevel"/>
    <w:tmpl w:val="3A5C5DCA"/>
    <w:lvl w:ilvl="0" w:tplc="AB708E8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6AD7"/>
    <w:multiLevelType w:val="hybridMultilevel"/>
    <w:tmpl w:val="8F8ECFD2"/>
    <w:lvl w:ilvl="0" w:tplc="6AC8D9DC">
      <w:start w:val="5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C5428"/>
    <w:multiLevelType w:val="hybridMultilevel"/>
    <w:tmpl w:val="9BF2001A"/>
    <w:lvl w:ilvl="0" w:tplc="88324BAE">
      <w:start w:val="5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A357EC"/>
    <w:multiLevelType w:val="hybridMultilevel"/>
    <w:tmpl w:val="90A81762"/>
    <w:lvl w:ilvl="0" w:tplc="AA367762">
      <w:start w:val="10"/>
      <w:numFmt w:val="bullet"/>
      <w:lvlText w:val=""/>
      <w:lvlJc w:val="left"/>
      <w:pPr>
        <w:ind w:left="4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A4D2D"/>
    <w:multiLevelType w:val="hybridMultilevel"/>
    <w:tmpl w:val="4A76F26E"/>
    <w:lvl w:ilvl="0" w:tplc="AA367762">
      <w:start w:val="10"/>
      <w:numFmt w:val="bullet"/>
      <w:lvlText w:val=""/>
      <w:lvlJc w:val="left"/>
      <w:pPr>
        <w:ind w:left="40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49440C32"/>
    <w:multiLevelType w:val="hybridMultilevel"/>
    <w:tmpl w:val="43C65792"/>
    <w:lvl w:ilvl="0" w:tplc="EB6E8CFC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535C9"/>
    <w:multiLevelType w:val="hybridMultilevel"/>
    <w:tmpl w:val="2DC4FE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2352"/>
    <w:multiLevelType w:val="hybridMultilevel"/>
    <w:tmpl w:val="C7EC2C5C"/>
    <w:lvl w:ilvl="0" w:tplc="92648794">
      <w:start w:val="8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46081"/>
    <w:multiLevelType w:val="hybridMultilevel"/>
    <w:tmpl w:val="AFA03B24"/>
    <w:lvl w:ilvl="0" w:tplc="10FA88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5D63"/>
    <w:multiLevelType w:val="hybridMultilevel"/>
    <w:tmpl w:val="E39C8B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369237">
    <w:abstractNumId w:val="2"/>
  </w:num>
  <w:num w:numId="2" w16cid:durableId="2132553419">
    <w:abstractNumId w:val="1"/>
  </w:num>
  <w:num w:numId="3" w16cid:durableId="472756">
    <w:abstractNumId w:val="5"/>
  </w:num>
  <w:num w:numId="4" w16cid:durableId="668294004">
    <w:abstractNumId w:val="4"/>
  </w:num>
  <w:num w:numId="5" w16cid:durableId="313603834">
    <w:abstractNumId w:val="8"/>
  </w:num>
  <w:num w:numId="6" w16cid:durableId="438641386">
    <w:abstractNumId w:val="6"/>
  </w:num>
  <w:num w:numId="7" w16cid:durableId="854151365">
    <w:abstractNumId w:val="9"/>
  </w:num>
  <w:num w:numId="8" w16cid:durableId="1200357777">
    <w:abstractNumId w:val="0"/>
  </w:num>
  <w:num w:numId="9" w16cid:durableId="1161317048">
    <w:abstractNumId w:val="10"/>
  </w:num>
  <w:num w:numId="10" w16cid:durableId="416899358">
    <w:abstractNumId w:val="7"/>
  </w:num>
  <w:num w:numId="11" w16cid:durableId="4359479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66"/>
    <w:rsid w:val="00014603"/>
    <w:rsid w:val="00024AB9"/>
    <w:rsid w:val="000431A6"/>
    <w:rsid w:val="000B3659"/>
    <w:rsid w:val="00184438"/>
    <w:rsid w:val="00200AAB"/>
    <w:rsid w:val="00200DA7"/>
    <w:rsid w:val="00237116"/>
    <w:rsid w:val="002439AB"/>
    <w:rsid w:val="002562A5"/>
    <w:rsid w:val="00277BF8"/>
    <w:rsid w:val="002C5903"/>
    <w:rsid w:val="002C5916"/>
    <w:rsid w:val="002F01E9"/>
    <w:rsid w:val="003164A5"/>
    <w:rsid w:val="003C0C36"/>
    <w:rsid w:val="004511E1"/>
    <w:rsid w:val="00454442"/>
    <w:rsid w:val="0049630E"/>
    <w:rsid w:val="004B5DC2"/>
    <w:rsid w:val="004C6370"/>
    <w:rsid w:val="00506B09"/>
    <w:rsid w:val="00531B86"/>
    <w:rsid w:val="005824E1"/>
    <w:rsid w:val="00627E5E"/>
    <w:rsid w:val="00630D66"/>
    <w:rsid w:val="006415F9"/>
    <w:rsid w:val="006512CF"/>
    <w:rsid w:val="006628DD"/>
    <w:rsid w:val="00694600"/>
    <w:rsid w:val="007029B4"/>
    <w:rsid w:val="0079460A"/>
    <w:rsid w:val="007A5F27"/>
    <w:rsid w:val="00806960"/>
    <w:rsid w:val="00846416"/>
    <w:rsid w:val="00850C7D"/>
    <w:rsid w:val="008D62F2"/>
    <w:rsid w:val="009825C8"/>
    <w:rsid w:val="009C68D7"/>
    <w:rsid w:val="009D6623"/>
    <w:rsid w:val="00A3048E"/>
    <w:rsid w:val="00A407CA"/>
    <w:rsid w:val="00A43672"/>
    <w:rsid w:val="00A93BC2"/>
    <w:rsid w:val="00A93F02"/>
    <w:rsid w:val="00AC2C2D"/>
    <w:rsid w:val="00AD0D0D"/>
    <w:rsid w:val="00B21DBD"/>
    <w:rsid w:val="00B41752"/>
    <w:rsid w:val="00C40EB1"/>
    <w:rsid w:val="00C52797"/>
    <w:rsid w:val="00C658D8"/>
    <w:rsid w:val="00C845F0"/>
    <w:rsid w:val="00C94C3E"/>
    <w:rsid w:val="00CA02A8"/>
    <w:rsid w:val="00CE621D"/>
    <w:rsid w:val="00D44FC9"/>
    <w:rsid w:val="00D46858"/>
    <w:rsid w:val="00D625EB"/>
    <w:rsid w:val="00D924AE"/>
    <w:rsid w:val="00E72D4C"/>
    <w:rsid w:val="00E82D83"/>
    <w:rsid w:val="00EE6DF5"/>
    <w:rsid w:val="00F0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96FE91"/>
  <w15:chartTrackingRefBased/>
  <w15:docId w15:val="{F0E0CAD7-C8DE-AE48-B1EE-512F85E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30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A02A8"/>
    <w:pPr>
      <w:ind w:left="720"/>
      <w:contextualSpacing/>
    </w:pPr>
  </w:style>
  <w:style w:type="paragraph" w:styleId="Rvision">
    <w:name w:val="Revision"/>
    <w:hidden/>
    <w:uiPriority w:val="99"/>
    <w:semiHidden/>
    <w:rsid w:val="009D6623"/>
  </w:style>
  <w:style w:type="character" w:styleId="Lienhypertexte">
    <w:name w:val="Hyperlink"/>
    <w:basedOn w:val="Policepardfaut"/>
    <w:uiPriority w:val="99"/>
    <w:unhideWhenUsed/>
    <w:rsid w:val="0079460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9460A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442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442"/>
    <w:rPr>
      <w:rFonts w:ascii="Times New Roman" w:hAnsi="Times New Roman" w:cs="Times New Roman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439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39A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39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39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39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1429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Cohen</dc:creator>
  <cp:keywords/>
  <dc:description/>
  <cp:lastModifiedBy>Robert Cohen</cp:lastModifiedBy>
  <cp:revision>3</cp:revision>
  <cp:lastPrinted>2022-11-28T09:04:00Z</cp:lastPrinted>
  <dcterms:created xsi:type="dcterms:W3CDTF">2022-12-01T12:34:00Z</dcterms:created>
  <dcterms:modified xsi:type="dcterms:W3CDTF">2022-12-01T12:46:00Z</dcterms:modified>
</cp:coreProperties>
</file>