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4520" w14:textId="77777777" w:rsidR="00BD266E" w:rsidRPr="00BD266E" w:rsidRDefault="003846B9" w:rsidP="003846B9">
      <w:pPr>
        <w:shd w:val="clear" w:color="auto" w:fill="FFFFFF"/>
        <w:spacing w:after="0" w:line="240" w:lineRule="auto"/>
        <w:jc w:val="both"/>
        <w:textAlignment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L’incidence des cas de</w:t>
      </w:r>
      <w:r w:rsidR="00BD266E" w:rsidRPr="00BD266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m</w:t>
      </w:r>
      <w:r w:rsidR="00BD266E" w:rsidRPr="00BD266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onkeypox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ou variole du singe augmente en France, et avec elle les questionnements sur la prise en charge des cas pédiatriques</w:t>
      </w:r>
      <w:r w:rsidR="00BD266E" w:rsidRPr="00BD266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.</w:t>
      </w:r>
    </w:p>
    <w:p w14:paraId="6FD2A12F" w14:textId="77777777" w:rsidR="003846B9" w:rsidRDefault="00530183" w:rsidP="003846B9">
      <w:pPr>
        <w:shd w:val="clear" w:color="auto" w:fill="FFFFFF"/>
        <w:spacing w:after="0" w:line="240" w:lineRule="auto"/>
        <w:jc w:val="both"/>
        <w:textAlignment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Afin d’</w:t>
      </w:r>
      <w:r w:rsidR="003137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aider les pédiatres -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et professionnels de santé qui prennent en charge les enfants</w:t>
      </w:r>
      <w:r w:rsidR="003137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 -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="003137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dans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 l’orientation diagnostique et thérapeutique, plusieurs documents ont été publiés par les sociétés savantes.</w:t>
      </w:r>
    </w:p>
    <w:p w14:paraId="7E7E69A1" w14:textId="77777777" w:rsidR="00530183" w:rsidRDefault="00530183" w:rsidP="003846B9">
      <w:pPr>
        <w:shd w:val="clear" w:color="auto" w:fill="FFFFFF"/>
        <w:spacing w:after="0" w:line="240" w:lineRule="auto"/>
        <w:jc w:val="both"/>
        <w:textAlignment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</w:pPr>
    </w:p>
    <w:p w14:paraId="52A73282" w14:textId="77777777" w:rsidR="00530183" w:rsidRDefault="00530183" w:rsidP="003846B9">
      <w:pPr>
        <w:shd w:val="clear" w:color="auto" w:fill="FFFFFF"/>
        <w:spacing w:after="0" w:line="240" w:lineRule="auto"/>
        <w:jc w:val="both"/>
        <w:textAlignment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La </w:t>
      </w:r>
      <w:r w:rsidRPr="00AA4CEC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fr-FR"/>
        </w:rPr>
        <w:t>Société Française de Dermatologie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 propose un document récapitulatif de la sémiologie des lésions évocatrices de monkeypox selon </w:t>
      </w:r>
      <w:r w:rsidR="00AA4CE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la phase primaire, secondaire, d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es complications et </w:t>
      </w:r>
      <w:r w:rsidR="00AA4CE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de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la prise en charge.</w:t>
      </w:r>
    </w:p>
    <w:p w14:paraId="73498A27" w14:textId="77777777" w:rsidR="00530183" w:rsidRDefault="00530183" w:rsidP="003846B9">
      <w:pPr>
        <w:shd w:val="clear" w:color="auto" w:fill="FFFFFF"/>
        <w:spacing w:after="0" w:line="240" w:lineRule="auto"/>
        <w:jc w:val="both"/>
        <w:textAlignment w:val="center"/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« </w:t>
      </w:r>
      <w:r>
        <w:t>Monkeypox Virus Manifestations dermatologiques ».</w:t>
      </w:r>
    </w:p>
    <w:p w14:paraId="6745EDB5" w14:textId="77777777" w:rsidR="00530183" w:rsidRDefault="00530183" w:rsidP="003846B9">
      <w:pPr>
        <w:shd w:val="clear" w:color="auto" w:fill="FFFFFF"/>
        <w:spacing w:after="0" w:line="240" w:lineRule="auto"/>
        <w:jc w:val="both"/>
        <w:textAlignment w:val="center"/>
      </w:pPr>
      <w:r>
        <w:t xml:space="preserve"> </w:t>
      </w:r>
      <w:hyperlink r:id="rId5" w:history="1">
        <w:r w:rsidRPr="00CC6EC7">
          <w:rPr>
            <w:rStyle w:val="Lienhypertexte"/>
          </w:rPr>
          <w:t>https://www.sfdermato.org/upload/news/groupemonkeypeauxfinal-1.pdf</w:t>
        </w:r>
      </w:hyperlink>
    </w:p>
    <w:p w14:paraId="00BD1632" w14:textId="77777777" w:rsidR="00530183" w:rsidRDefault="00530183" w:rsidP="003846B9">
      <w:pPr>
        <w:shd w:val="clear" w:color="auto" w:fill="FFFFFF"/>
        <w:spacing w:after="0" w:line="240" w:lineRule="auto"/>
        <w:jc w:val="both"/>
        <w:textAlignment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</w:pPr>
    </w:p>
    <w:p w14:paraId="71091CAE" w14:textId="77777777" w:rsidR="00530183" w:rsidRDefault="00530183" w:rsidP="003846B9">
      <w:pPr>
        <w:shd w:val="clear" w:color="auto" w:fill="FFFFFF"/>
        <w:spacing w:after="0" w:line="240" w:lineRule="auto"/>
        <w:jc w:val="both"/>
        <w:textAlignment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Le </w:t>
      </w:r>
      <w:r w:rsidRPr="00AA4CEC">
        <w:rPr>
          <w:rFonts w:ascii="Calibri" w:hAnsi="Calibri" w:cs="Calibri"/>
          <w:b/>
          <w:color w:val="000000"/>
          <w:shd w:val="clear" w:color="auto" w:fill="FFFFFF"/>
        </w:rPr>
        <w:t>Groupe de Pathologie Infectieuse Pédiatrique (GPIP) et la Société Française de Pédiatrie (SFP)</w:t>
      </w:r>
      <w:r>
        <w:rPr>
          <w:rFonts w:ascii="Calibri" w:hAnsi="Calibri" w:cs="Calibri"/>
          <w:color w:val="000000"/>
          <w:shd w:val="clear" w:color="auto" w:fill="FFFFFF"/>
        </w:rPr>
        <w:t xml:space="preserve"> ont rédigé le 20/07/2022 sur le site Infovac un document résumant les enjeux de cette épidémie en pédiatrie : « </w:t>
      </w:r>
      <w:r w:rsidRPr="00530183">
        <w:rPr>
          <w:rFonts w:ascii="Calibri" w:hAnsi="Calibri" w:cs="Calibri"/>
          <w:color w:val="000000"/>
          <w:shd w:val="clear" w:color="auto" w:fill="FFFFFF"/>
        </w:rPr>
        <w:t>Epidémie de variole dite « du singe » ou monkey pox : place des enfants et préconisations actuelles du GPIP et de la SFP</w:t>
      </w:r>
      <w:r>
        <w:rPr>
          <w:rFonts w:ascii="Calibri" w:hAnsi="Calibri" w:cs="Calibri"/>
          <w:color w:val="000000"/>
          <w:shd w:val="clear" w:color="auto" w:fill="FFFFFF"/>
        </w:rPr>
        <w:t> »</w:t>
      </w:r>
    </w:p>
    <w:p w14:paraId="059E38F9" w14:textId="77777777" w:rsidR="00530183" w:rsidRDefault="00000000" w:rsidP="003846B9">
      <w:pPr>
        <w:shd w:val="clear" w:color="auto" w:fill="FFFFFF"/>
        <w:spacing w:after="0" w:line="240" w:lineRule="auto"/>
        <w:jc w:val="both"/>
        <w:textAlignment w:val="center"/>
        <w:rPr>
          <w:rFonts w:ascii="Calibri" w:hAnsi="Calibri" w:cs="Calibri"/>
          <w:color w:val="000000"/>
          <w:shd w:val="clear" w:color="auto" w:fill="FFFFFF"/>
        </w:rPr>
      </w:pPr>
      <w:hyperlink r:id="rId6" w:history="1">
        <w:r w:rsidR="00530183" w:rsidRPr="00CC6EC7">
          <w:rPr>
            <w:rStyle w:val="Lienhypertexte"/>
            <w:rFonts w:ascii="Calibri" w:hAnsi="Calibri" w:cs="Calibri"/>
            <w:shd w:val="clear" w:color="auto" w:fill="FFFFFF"/>
          </w:rPr>
          <w:t>https://www.infovac.fr/actualites/epidemie-de-variole-dite-du-singe-ou-monkey-pox-place-des-enfants-et-preconisations-actuelles-du-gpip-et-de-la-sfp</w:t>
        </w:r>
      </w:hyperlink>
      <w:r w:rsidR="00530183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21FC6DEB" w14:textId="77777777" w:rsidR="00530183" w:rsidRDefault="00530183" w:rsidP="003846B9">
      <w:pPr>
        <w:shd w:val="clear" w:color="auto" w:fill="FFFFFF"/>
        <w:spacing w:after="0" w:line="240" w:lineRule="auto"/>
        <w:jc w:val="both"/>
        <w:textAlignment w:val="center"/>
        <w:rPr>
          <w:rFonts w:ascii="Calibri" w:hAnsi="Calibri" w:cs="Calibri"/>
          <w:color w:val="000000"/>
          <w:shd w:val="clear" w:color="auto" w:fill="FFFFFF"/>
        </w:rPr>
      </w:pPr>
    </w:p>
    <w:p w14:paraId="6C119275" w14:textId="77777777" w:rsidR="00530183" w:rsidRDefault="00530183" w:rsidP="00530183">
      <w:pPr>
        <w:shd w:val="clear" w:color="auto" w:fill="FFFFFF"/>
        <w:spacing w:after="0" w:line="240" w:lineRule="auto"/>
        <w:jc w:val="both"/>
        <w:textAlignment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Enfin, </w:t>
      </w:r>
      <w:r w:rsidRPr="00AA4CEC">
        <w:rPr>
          <w:rFonts w:ascii="Calibri" w:hAnsi="Calibri" w:cs="Calibri"/>
          <w:b/>
          <w:color w:val="000000"/>
          <w:shd w:val="clear" w:color="auto" w:fill="FFFFFF"/>
        </w:rPr>
        <w:t>l’ANSM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55CE4">
        <w:rPr>
          <w:rFonts w:ascii="Calibri" w:hAnsi="Calibri" w:cs="Calibri"/>
          <w:color w:val="000000"/>
          <w:shd w:val="clear" w:color="auto" w:fill="FFFFFF"/>
        </w:rPr>
        <w:t>a publié une mise à jour le 20/06/2022 concernant les indications de vaccination notamment des cas contacts en pédiatrie.</w:t>
      </w:r>
    </w:p>
    <w:p w14:paraId="792C7448" w14:textId="77777777" w:rsidR="00E55CE4" w:rsidRDefault="00000000" w:rsidP="00530183">
      <w:pPr>
        <w:shd w:val="clear" w:color="auto" w:fill="FFFFFF"/>
        <w:spacing w:after="0" w:line="240" w:lineRule="auto"/>
        <w:jc w:val="both"/>
        <w:textAlignment w:val="center"/>
        <w:rPr>
          <w:rFonts w:ascii="Calibri" w:hAnsi="Calibri" w:cs="Calibri"/>
          <w:color w:val="000000"/>
          <w:shd w:val="clear" w:color="auto" w:fill="FFFFFF"/>
        </w:rPr>
      </w:pPr>
      <w:hyperlink r:id="rId7" w:history="1">
        <w:r w:rsidR="00E55CE4" w:rsidRPr="00CC6EC7">
          <w:rPr>
            <w:rStyle w:val="Lienhypertexte"/>
            <w:rFonts w:ascii="Calibri" w:hAnsi="Calibri" w:cs="Calibri"/>
            <w:shd w:val="clear" w:color="auto" w:fill="FFFFFF"/>
          </w:rPr>
          <w:t>https://ansm.sante.fr/uploads/2022/06/20/20220617-avis-ansm-mkp-vaccins.pdf</w:t>
        </w:r>
      </w:hyperlink>
      <w:r w:rsidR="00E55CE4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3975F002" w14:textId="77777777" w:rsidR="00530183" w:rsidRPr="00BD266E" w:rsidRDefault="00530183" w:rsidP="00530183">
      <w:pPr>
        <w:shd w:val="clear" w:color="auto" w:fill="FFFFFF"/>
        <w:spacing w:after="0" w:line="240" w:lineRule="auto"/>
        <w:jc w:val="both"/>
        <w:textAlignment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</w:pPr>
    </w:p>
    <w:p w14:paraId="7C854E52" w14:textId="77777777" w:rsidR="00E55CE4" w:rsidRPr="003137C9" w:rsidRDefault="003137C9" w:rsidP="003846B9">
      <w:pPr>
        <w:shd w:val="clear" w:color="auto" w:fill="FFFFFF"/>
        <w:spacing w:after="0" w:line="240" w:lineRule="auto"/>
        <w:jc w:val="both"/>
        <w:textAlignment w:val="center"/>
        <w:rPr>
          <w:rFonts w:ascii="Calibri" w:eastAsia="Times New Roman" w:hAnsi="Calibri" w:cs="Calibri"/>
          <w:color w:val="000000"/>
          <w:sz w:val="24"/>
          <w:szCs w:val="24"/>
          <w:u w:val="single"/>
          <w:shd w:val="clear" w:color="auto" w:fill="FFFFFF"/>
          <w:lang w:eastAsia="fr-FR"/>
        </w:rPr>
      </w:pPr>
      <w:r w:rsidRPr="003137C9">
        <w:rPr>
          <w:rFonts w:ascii="Calibri" w:eastAsia="Times New Roman" w:hAnsi="Calibri" w:cs="Calibri"/>
          <w:color w:val="000000"/>
          <w:sz w:val="24"/>
          <w:szCs w:val="24"/>
          <w:u w:val="single"/>
          <w:shd w:val="clear" w:color="auto" w:fill="FFFFFF"/>
          <w:lang w:eastAsia="fr-FR"/>
        </w:rPr>
        <w:t>La maladie en pédiatrie</w:t>
      </w:r>
      <w:r w:rsidR="00BD266E" w:rsidRPr="00BD266E">
        <w:rPr>
          <w:rFonts w:ascii="Calibri" w:eastAsia="Times New Roman" w:hAnsi="Calibri" w:cs="Calibri"/>
          <w:color w:val="000000"/>
          <w:sz w:val="24"/>
          <w:szCs w:val="24"/>
          <w:u w:val="single"/>
          <w:shd w:val="clear" w:color="auto" w:fill="FFFFFF"/>
          <w:lang w:eastAsia="fr-FR"/>
        </w:rPr>
        <w:t xml:space="preserve"> quelques mots</w:t>
      </w:r>
      <w:r w:rsidR="00E55CE4" w:rsidRPr="003137C9">
        <w:rPr>
          <w:rFonts w:ascii="Calibri" w:eastAsia="Times New Roman" w:hAnsi="Calibri" w:cs="Calibri"/>
          <w:color w:val="000000"/>
          <w:sz w:val="24"/>
          <w:szCs w:val="24"/>
          <w:u w:val="single"/>
          <w:shd w:val="clear" w:color="auto" w:fill="FFFFFF"/>
          <w:lang w:eastAsia="fr-FR"/>
        </w:rPr>
        <w:t> :</w:t>
      </w:r>
    </w:p>
    <w:p w14:paraId="211A9893" w14:textId="77777777" w:rsidR="0064665C" w:rsidRDefault="008E1E8D" w:rsidP="00F16984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</w:pPr>
      <w:r w:rsidRPr="0064665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La transmission sembl</w:t>
      </w:r>
      <w:r w:rsidR="003137C9" w:rsidRPr="0064665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e être liée à un contact étroit avec le cas index</w:t>
      </w:r>
      <w:r w:rsidR="00AA4CE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. I</w:t>
      </w:r>
      <w:r w:rsidR="003137C9" w:rsidRPr="0064665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l existe un portage dans les voies aériennes</w:t>
      </w:r>
      <w:r w:rsidR="00AA4CE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 mais les transmissions semblent très rares</w:t>
      </w:r>
      <w:r w:rsidR="003137C9" w:rsidRPr="0064665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.</w:t>
      </w:r>
    </w:p>
    <w:p w14:paraId="145C11C0" w14:textId="77777777" w:rsidR="008E1E8D" w:rsidRPr="0064665C" w:rsidRDefault="008E1E8D" w:rsidP="0064665C">
      <w:pPr>
        <w:pStyle w:val="Paragraphedeliste"/>
        <w:shd w:val="clear" w:color="auto" w:fill="FFFFFF"/>
        <w:spacing w:after="0" w:line="240" w:lineRule="auto"/>
        <w:jc w:val="both"/>
        <w:textAlignment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</w:pPr>
      <w:r w:rsidRPr="0064665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En France les cas pédiatriques restent très rares avec 2 cas rapportés au 12/07/2022.</w:t>
      </w:r>
      <w:r w:rsidR="003137C9" w:rsidRPr="0064665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 On considère actuellement que le risque est extrêmement faible.</w:t>
      </w:r>
    </w:p>
    <w:p w14:paraId="2B21BE21" w14:textId="77777777" w:rsidR="008E1E8D" w:rsidRDefault="008E1E8D" w:rsidP="00E55CE4">
      <w:pPr>
        <w:shd w:val="clear" w:color="auto" w:fill="FFFFFF"/>
        <w:spacing w:after="0" w:line="240" w:lineRule="auto"/>
        <w:jc w:val="both"/>
        <w:textAlignment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</w:pPr>
    </w:p>
    <w:p w14:paraId="4887C77D" w14:textId="77777777" w:rsidR="003137C9" w:rsidRDefault="00E55CE4" w:rsidP="003137C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</w:pPr>
      <w:r w:rsidRPr="003137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Les symptômes habituels sont une </w:t>
      </w:r>
      <w:r w:rsidRPr="003137C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fr-FR"/>
        </w:rPr>
        <w:t>éruption vésiculeuse fébrile</w:t>
      </w:r>
      <w:r w:rsidRPr="003137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 touchant le visage les membres avec atteinte des paumes des mains et des pieds</w:t>
      </w:r>
      <w:r w:rsidR="003137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,</w:t>
      </w:r>
      <w:r w:rsidRPr="003137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 (moins le tronc), les organes génitaux, les muqueuses dont la bouche et les conjonctives. Les vésicules évoluent vers des croûtes puis la cicatrisation sur un mode assez long (14 à 28 jours). (La symptomatologie est proche de celle de la variole, qui a été déclarée éradiquée en 1980). Cette éruption peut s’accompagner de </w:t>
      </w:r>
      <w:r w:rsidRPr="003137C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fr-FR"/>
        </w:rPr>
        <w:t>fièvre, de maux de tête, de courbatures et d’asthénie. On peut trouver également des adé</w:t>
      </w:r>
      <w:r w:rsidR="003137C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fr-FR"/>
        </w:rPr>
        <w:t>nopathies</w:t>
      </w:r>
      <w:r w:rsidRPr="003137C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 cervicales </w:t>
      </w:r>
      <w:r w:rsidRPr="00AA4CEC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fr-FR"/>
        </w:rPr>
        <w:t>et inguinales</w:t>
      </w:r>
      <w:r w:rsidR="003137C9" w:rsidRPr="00AA4CEC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 inflammatoires, d</w:t>
      </w:r>
      <w:r w:rsidRPr="00AA4CEC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fr-FR"/>
        </w:rPr>
        <w:t xml:space="preserve">ouloureuses. </w:t>
      </w:r>
    </w:p>
    <w:p w14:paraId="1BFCD589" w14:textId="77777777" w:rsidR="00F02EF4" w:rsidRDefault="00AA4CEC" w:rsidP="0064665C">
      <w:pPr>
        <w:pStyle w:val="Paragraphedeliste"/>
        <w:shd w:val="clear" w:color="auto" w:fill="FFFFFF"/>
        <w:spacing w:after="0" w:line="240" w:lineRule="auto"/>
        <w:jc w:val="both"/>
        <w:textAlignment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Les complications seraien</w:t>
      </w:r>
      <w:r w:rsidR="00E55CE4" w:rsidRPr="003137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t la </w:t>
      </w:r>
      <w:r w:rsidR="00E55CE4" w:rsidRPr="00AA4CEC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fr-FR"/>
        </w:rPr>
        <w:t>surinfection cutanée, les atteintes respiratoires, et neurologiques</w:t>
      </w:r>
      <w:r w:rsidR="003137C9" w:rsidRPr="00AA4CEC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fr-FR"/>
        </w:rPr>
        <w:t xml:space="preserve"> (méningo-encéphalites)</w:t>
      </w:r>
      <w:r w:rsidR="00E55CE4" w:rsidRPr="003137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.</w:t>
      </w:r>
      <w:r w:rsidR="003137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="003137C9" w:rsidRPr="00BD266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Les enfants seraient plus à risque de forme</w:t>
      </w:r>
      <w:r w:rsidR="003137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s</w:t>
      </w:r>
      <w:r w:rsidR="003137C9" w:rsidRPr="00BD266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 grave</w:t>
      </w:r>
      <w:r w:rsidR="003137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s</w:t>
      </w:r>
      <w:r w:rsidR="003137C9" w:rsidRPr="00BD266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 que les adultes habituellement symptomatiques</w:t>
      </w:r>
      <w:r w:rsidR="003137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, mais ces données reposent sur le suivis des cas lors des épidémies « autochtones » en Afrique et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pourraient être</w:t>
      </w:r>
      <w:r w:rsidR="003137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 plutôt en lien avec des surinfections cutanées</w:t>
      </w:r>
      <w:r w:rsidR="003137C9" w:rsidRPr="00BD266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. </w:t>
      </w:r>
    </w:p>
    <w:p w14:paraId="4D98BB6A" w14:textId="77777777" w:rsidR="003137C9" w:rsidRDefault="003137C9" w:rsidP="003137C9">
      <w:pPr>
        <w:pStyle w:val="Paragraphedeliste"/>
        <w:shd w:val="clear" w:color="auto" w:fill="FFFFFF"/>
        <w:spacing w:after="0" w:line="240" w:lineRule="auto"/>
        <w:jc w:val="both"/>
        <w:textAlignment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</w:pPr>
    </w:p>
    <w:p w14:paraId="775AB8C2" w14:textId="77777777" w:rsidR="003137C9" w:rsidRPr="003137C9" w:rsidRDefault="003137C9" w:rsidP="003137C9">
      <w:pPr>
        <w:shd w:val="clear" w:color="auto" w:fill="FFFFFF"/>
        <w:spacing w:after="0" w:line="240" w:lineRule="auto"/>
        <w:jc w:val="both"/>
        <w:textAlignment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shd w:val="clear" w:color="auto" w:fill="FFFFFF"/>
          <w:lang w:eastAsia="fr-FR"/>
        </w:rPr>
      </w:pPr>
      <w:r w:rsidRPr="003137C9">
        <w:rPr>
          <w:rFonts w:ascii="Calibri" w:eastAsia="Times New Roman" w:hAnsi="Calibri" w:cs="Calibri"/>
          <w:color w:val="000000"/>
          <w:sz w:val="24"/>
          <w:szCs w:val="24"/>
          <w:u w:val="single"/>
          <w:shd w:val="clear" w:color="auto" w:fill="FFFFFF"/>
          <w:lang w:eastAsia="fr-FR"/>
        </w:rPr>
        <w:t>La prise en charge d’une suspicion clinique :</w:t>
      </w:r>
    </w:p>
    <w:p w14:paraId="6E6ECFDA" w14:textId="77777777" w:rsidR="003137C9" w:rsidRDefault="003137C9" w:rsidP="003137C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</w:pPr>
      <w:r w:rsidRPr="003137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Autant que possible </w:t>
      </w:r>
      <w:r w:rsidRPr="003137C9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fr-FR"/>
        </w:rPr>
        <w:t>il</w:t>
      </w:r>
      <w:r w:rsidRPr="003137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Pr="003137C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fr-FR"/>
        </w:rPr>
        <w:t>ne faut pas que les patients se déplacent</w:t>
      </w:r>
      <w:r w:rsidRPr="003137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 à l’hôpital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, sauf en cas de doute sur une complication (dermohypodermite, …)</w:t>
      </w:r>
      <w:r w:rsidRPr="003137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.</w:t>
      </w:r>
    </w:p>
    <w:p w14:paraId="2C28D542" w14:textId="77777777" w:rsidR="003137C9" w:rsidRPr="00F02EF4" w:rsidRDefault="003137C9" w:rsidP="00BF45B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</w:pPr>
      <w:r w:rsidRPr="00F02EF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En cas de doute clinique chez un patient, l’évaluation du cas doit être faite au téléphone via le centre 15, qui prendra contact avec les infectiologues adultes et/ou </w:t>
      </w:r>
      <w:r w:rsidRPr="00F02EF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lastRenderedPageBreak/>
        <w:t>pédiatriques de l’établissement de santé de référence (ESR) régional.</w:t>
      </w:r>
      <w:r w:rsidR="00F02EF4" w:rsidRPr="00F02EF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="00F02EF4" w:rsidRPr="00BD266E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fr-FR"/>
        </w:rPr>
        <w:t>Tout prélèvement microbiologique doit être fait ap</w:t>
      </w:r>
      <w:r w:rsidR="00F02EF4" w:rsidRPr="00F02EF4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fr-FR"/>
        </w:rPr>
        <w:t>rès discussion avec le médecin de l’ESR</w:t>
      </w:r>
      <w:r w:rsidR="00F02EF4" w:rsidRPr="00BD266E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="00F02EF4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fr-FR"/>
        </w:rPr>
        <w:t>selon les modalités prédéfinies par l’ESR</w:t>
      </w:r>
      <w:r w:rsidR="00F02EF4" w:rsidRPr="00F02EF4">
        <w:rPr>
          <w:rFonts w:ascii="Calibri" w:eastAsia="Times New Roman" w:hAnsi="Calibri" w:cs="Calibri"/>
          <w:bCs/>
          <w:color w:val="000000"/>
          <w:sz w:val="24"/>
          <w:szCs w:val="24"/>
          <w:shd w:val="clear" w:color="auto" w:fill="FFFFFF"/>
          <w:lang w:eastAsia="fr-FR"/>
        </w:rPr>
        <w:t xml:space="preserve"> : à domicile par une structure mandatée / au laboratoire de l’hôpital selon une filière pré-établie </w:t>
      </w:r>
      <w:r w:rsidR="00F02EF4">
        <w:rPr>
          <w:rFonts w:ascii="Calibri" w:eastAsia="Times New Roman" w:hAnsi="Calibri" w:cs="Calibri"/>
          <w:bCs/>
          <w:color w:val="000000"/>
          <w:sz w:val="24"/>
          <w:szCs w:val="24"/>
          <w:shd w:val="clear" w:color="auto" w:fill="FFFFFF"/>
          <w:lang w:eastAsia="fr-FR"/>
        </w:rPr>
        <w:t>/ ..</w:t>
      </w:r>
      <w:r w:rsidR="00F02EF4" w:rsidRPr="00F02EF4">
        <w:rPr>
          <w:rFonts w:ascii="Calibri" w:eastAsia="Times New Roman" w:hAnsi="Calibri" w:cs="Calibri"/>
          <w:bCs/>
          <w:color w:val="000000"/>
          <w:sz w:val="24"/>
          <w:szCs w:val="24"/>
          <w:shd w:val="clear" w:color="auto" w:fill="FFFFFF"/>
          <w:lang w:eastAsia="fr-FR"/>
        </w:rPr>
        <w:t>.</w:t>
      </w:r>
    </w:p>
    <w:p w14:paraId="358A1095" w14:textId="77777777" w:rsidR="00E55CE4" w:rsidRPr="0064665C" w:rsidRDefault="0064665C" w:rsidP="009F2532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center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fr-FR"/>
        </w:rPr>
      </w:pPr>
      <w:r w:rsidRPr="0064665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Concernant </w:t>
      </w:r>
      <w:r w:rsidR="00F02EF4" w:rsidRPr="0064665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la </w:t>
      </w:r>
      <w:r w:rsidR="00F02EF4" w:rsidRPr="0064665C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fr-FR"/>
        </w:rPr>
        <w:t>vaccination des cas contacts à risque</w:t>
      </w:r>
      <w:r w:rsidRPr="0064665C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fr-FR"/>
        </w:rPr>
        <w:t> </w:t>
      </w:r>
      <w:r w:rsidRPr="0064665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: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l</w:t>
      </w:r>
      <w:r w:rsidRPr="0064665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'avis révisé de l'ANSM du 20/06/2022 recommande de discuter la vaccination des enfants au cas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 par cas avec un médecin expert.</w:t>
      </w:r>
      <w:r w:rsidRPr="0064665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 La vaccination des cas contacts doit être réalisée</w:t>
      </w:r>
      <w:r w:rsidR="009F253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 par le vaccin I</w:t>
      </w:r>
      <w:r w:rsidR="009F2532" w:rsidRPr="009F253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mvanex®</w:t>
      </w:r>
      <w:r w:rsidR="00AA4CE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 3</w:t>
      </w:r>
      <w:r w:rsidR="00AA4CEC" w:rsidRPr="00AA4CE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vertAlign w:val="superscript"/>
          <w:lang w:eastAsia="fr-FR"/>
        </w:rPr>
        <w:t>e</w:t>
      </w:r>
      <w:r w:rsidR="00AA4CE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 génération</w:t>
      </w:r>
      <w:r w:rsidRPr="0064665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Pr="0064665C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fr-FR"/>
        </w:rPr>
        <w:t>dans l</w:t>
      </w:r>
      <w:r w:rsidR="009F2532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fr-FR"/>
        </w:rPr>
        <w:t>es 4 jours qui suivent le contact à risque</w:t>
      </w:r>
      <w:r w:rsidRPr="0064665C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fr-FR"/>
        </w:rPr>
        <w:t>, mais est envisageable jusqu'à 14 jours après.</w:t>
      </w:r>
    </w:p>
    <w:p w14:paraId="0CAAE22C" w14:textId="77777777" w:rsidR="003846B9" w:rsidRPr="00AA4CEC" w:rsidRDefault="003846B9" w:rsidP="00AA4CEC">
      <w:pP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</w:pPr>
    </w:p>
    <w:sectPr w:rsidR="003846B9" w:rsidRPr="00AA4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7CC7"/>
    <w:multiLevelType w:val="hybridMultilevel"/>
    <w:tmpl w:val="A8DCA5EC"/>
    <w:lvl w:ilvl="0" w:tplc="1C4E1C9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A338C"/>
    <w:multiLevelType w:val="hybridMultilevel"/>
    <w:tmpl w:val="1B4EFD66"/>
    <w:lvl w:ilvl="0" w:tplc="F2E0149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297176">
    <w:abstractNumId w:val="0"/>
  </w:num>
  <w:num w:numId="2" w16cid:durableId="1512258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612"/>
    <w:rsid w:val="003137C9"/>
    <w:rsid w:val="003846B9"/>
    <w:rsid w:val="00497C4F"/>
    <w:rsid w:val="004C79D0"/>
    <w:rsid w:val="00530183"/>
    <w:rsid w:val="0064665C"/>
    <w:rsid w:val="00733612"/>
    <w:rsid w:val="008E1E8D"/>
    <w:rsid w:val="009F2532"/>
    <w:rsid w:val="00AA4CEC"/>
    <w:rsid w:val="00BD266E"/>
    <w:rsid w:val="00E55CE4"/>
    <w:rsid w:val="00F0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9729"/>
  <w15:chartTrackingRefBased/>
  <w15:docId w15:val="{C718137A-C2C7-4759-BA28-3944BAC8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266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84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8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0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88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19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2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87944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775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12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96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552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655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12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22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743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511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253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4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1252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9564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2216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188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502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786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0373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1687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6082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8106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7156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879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183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4437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7976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5871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2881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978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sm.sante.fr/uploads/2022/06/20/20220617-avis-ansm-mkp-vacci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ovac.fr/actualites/epidemie-de-variole-dite-du-singe-ou-monkey-pox-place-des-enfants-et-preconisations-actuelles-du-gpip-et-de-la-sfp" TargetMode="External"/><Relationship Id="rId5" Type="http://schemas.openxmlformats.org/officeDocument/2006/relationships/hyperlink" Target="https://www.sfdermato.org/upload/news/groupemonkeypeauxfinal-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CHU-NANTES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SANTY Coline</dc:creator>
  <cp:keywords/>
  <dc:description/>
  <cp:lastModifiedBy>Hélène COINEAU</cp:lastModifiedBy>
  <cp:revision>2</cp:revision>
  <dcterms:created xsi:type="dcterms:W3CDTF">2022-08-09T08:01:00Z</dcterms:created>
  <dcterms:modified xsi:type="dcterms:W3CDTF">2022-08-09T08:01:00Z</dcterms:modified>
</cp:coreProperties>
</file>