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24520" w14:textId="77777777" w:rsidR="00BD266E" w:rsidRPr="00BD266E" w:rsidRDefault="003846B9" w:rsidP="003846B9">
      <w:pPr>
        <w:shd w:val="clear" w:color="auto" w:fill="FFFFFF"/>
        <w:spacing w:after="0" w:line="240" w:lineRule="auto"/>
        <w:jc w:val="both"/>
        <w:textAlignment w:val="center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fr-FR"/>
        </w:rPr>
      </w:pP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fr-FR"/>
        </w:rPr>
        <w:t>L’incidence des cas de</w:t>
      </w:r>
      <w:r w:rsidR="00BD266E" w:rsidRPr="00BD266E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fr-FR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fr-FR"/>
        </w:rPr>
        <w:t>m</w:t>
      </w:r>
      <w:r w:rsidR="00BD266E" w:rsidRPr="00BD266E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fr-FR"/>
        </w:rPr>
        <w:t xml:space="preserve">onkeypox 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fr-FR"/>
        </w:rPr>
        <w:t>ou variole du singe augmente en France, et avec elle les questionnements sur la prise en charge des cas pédiatriques</w:t>
      </w:r>
      <w:r w:rsidR="00BD266E" w:rsidRPr="00BD266E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fr-FR"/>
        </w:rPr>
        <w:t>.</w:t>
      </w:r>
    </w:p>
    <w:p w14:paraId="6FD2A12F" w14:textId="77777777" w:rsidR="003846B9" w:rsidRDefault="00530183" w:rsidP="003846B9">
      <w:pPr>
        <w:shd w:val="clear" w:color="auto" w:fill="FFFFFF"/>
        <w:spacing w:after="0" w:line="240" w:lineRule="auto"/>
        <w:jc w:val="both"/>
        <w:textAlignment w:val="center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fr-FR"/>
        </w:rPr>
      </w:pP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fr-FR"/>
        </w:rPr>
        <w:t>Afin d’</w:t>
      </w:r>
      <w:r w:rsidR="003137C9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fr-FR"/>
        </w:rPr>
        <w:t xml:space="preserve">aider les pédiatres - 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fr-FR"/>
        </w:rPr>
        <w:t>et professionnels de santé qui prennent en charge les enfants</w:t>
      </w:r>
      <w:r w:rsidR="003137C9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fr-FR"/>
        </w:rPr>
        <w:t xml:space="preserve"> -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fr-FR"/>
        </w:rPr>
        <w:t xml:space="preserve"> </w:t>
      </w:r>
      <w:r w:rsidR="003137C9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fr-FR"/>
        </w:rPr>
        <w:t>dans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fr-FR"/>
        </w:rPr>
        <w:t xml:space="preserve"> l’orientation diagnostique et thérapeutique, plusieurs documents ont été publiés par les sociétés savantes.</w:t>
      </w:r>
    </w:p>
    <w:p w14:paraId="7E7E69A1" w14:textId="77777777" w:rsidR="00530183" w:rsidRDefault="00530183" w:rsidP="003846B9">
      <w:pPr>
        <w:shd w:val="clear" w:color="auto" w:fill="FFFFFF"/>
        <w:spacing w:after="0" w:line="240" w:lineRule="auto"/>
        <w:jc w:val="both"/>
        <w:textAlignment w:val="center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fr-FR"/>
        </w:rPr>
      </w:pPr>
    </w:p>
    <w:p w14:paraId="52A73282" w14:textId="77777777" w:rsidR="00530183" w:rsidRDefault="00530183" w:rsidP="003846B9">
      <w:pPr>
        <w:shd w:val="clear" w:color="auto" w:fill="FFFFFF"/>
        <w:spacing w:after="0" w:line="240" w:lineRule="auto"/>
        <w:jc w:val="both"/>
        <w:textAlignment w:val="center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fr-FR"/>
        </w:rPr>
      </w:pP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fr-FR"/>
        </w:rPr>
        <w:t xml:space="preserve">La </w:t>
      </w:r>
      <w:r w:rsidRPr="00AA4CEC">
        <w:rPr>
          <w:rFonts w:ascii="Calibri" w:eastAsia="Times New Roman" w:hAnsi="Calibri" w:cs="Calibri"/>
          <w:b/>
          <w:color w:val="000000"/>
          <w:sz w:val="24"/>
          <w:szCs w:val="24"/>
          <w:shd w:val="clear" w:color="auto" w:fill="FFFFFF"/>
          <w:lang w:eastAsia="fr-FR"/>
        </w:rPr>
        <w:t>Société Française de Dermatologie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fr-FR"/>
        </w:rPr>
        <w:t xml:space="preserve"> propose un document récapitulatif de la sémiologie des lésions évocatrices de monkeypox selon </w:t>
      </w:r>
      <w:r w:rsidR="00AA4CE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fr-FR"/>
        </w:rPr>
        <w:t>la phase primaire, secondaire, d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fr-FR"/>
        </w:rPr>
        <w:t xml:space="preserve">es complications et </w:t>
      </w:r>
      <w:r w:rsidR="00AA4CE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fr-FR"/>
        </w:rPr>
        <w:t xml:space="preserve">de 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fr-FR"/>
        </w:rPr>
        <w:t>la prise en charge.</w:t>
      </w:r>
    </w:p>
    <w:p w14:paraId="73498A27" w14:textId="77777777" w:rsidR="00530183" w:rsidRDefault="00530183" w:rsidP="003846B9">
      <w:pPr>
        <w:shd w:val="clear" w:color="auto" w:fill="FFFFFF"/>
        <w:spacing w:after="0" w:line="240" w:lineRule="auto"/>
        <w:jc w:val="both"/>
        <w:textAlignment w:val="center"/>
      </w:pP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fr-FR"/>
        </w:rPr>
        <w:t>« </w:t>
      </w:r>
      <w:r>
        <w:t>Monkeypox Virus Manifestations dermatologiques ».</w:t>
      </w:r>
    </w:p>
    <w:p w14:paraId="6745EDB5" w14:textId="77777777" w:rsidR="00530183" w:rsidRDefault="00530183" w:rsidP="003846B9">
      <w:pPr>
        <w:shd w:val="clear" w:color="auto" w:fill="FFFFFF"/>
        <w:spacing w:after="0" w:line="240" w:lineRule="auto"/>
        <w:jc w:val="both"/>
        <w:textAlignment w:val="center"/>
      </w:pPr>
      <w:r>
        <w:t xml:space="preserve"> </w:t>
      </w:r>
      <w:hyperlink r:id="rId5" w:history="1">
        <w:r w:rsidRPr="00CC6EC7">
          <w:rPr>
            <w:rStyle w:val="Lienhypertexte"/>
          </w:rPr>
          <w:t>https://www.sfdermato.org/upload/news/groupemonkeypeauxfinal-1.pdf</w:t>
        </w:r>
      </w:hyperlink>
    </w:p>
    <w:p w14:paraId="00BD1632" w14:textId="77777777" w:rsidR="00530183" w:rsidRDefault="00530183" w:rsidP="003846B9">
      <w:pPr>
        <w:shd w:val="clear" w:color="auto" w:fill="FFFFFF"/>
        <w:spacing w:after="0" w:line="240" w:lineRule="auto"/>
        <w:jc w:val="both"/>
        <w:textAlignment w:val="center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fr-FR"/>
        </w:rPr>
      </w:pPr>
    </w:p>
    <w:p w14:paraId="71091CAE" w14:textId="77777777" w:rsidR="00530183" w:rsidRDefault="00530183" w:rsidP="003846B9">
      <w:pPr>
        <w:shd w:val="clear" w:color="auto" w:fill="FFFFFF"/>
        <w:spacing w:after="0" w:line="240" w:lineRule="auto"/>
        <w:jc w:val="both"/>
        <w:textAlignment w:val="center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Le </w:t>
      </w:r>
      <w:r w:rsidRPr="00AA4CEC">
        <w:rPr>
          <w:rFonts w:ascii="Calibri" w:hAnsi="Calibri" w:cs="Calibri"/>
          <w:b/>
          <w:color w:val="000000"/>
          <w:shd w:val="clear" w:color="auto" w:fill="FFFFFF"/>
        </w:rPr>
        <w:t>Groupe de Pathologie Infectieuse Pédiatrique (GPIP) et la Société Française de Pédiatrie (SFP)</w:t>
      </w:r>
      <w:r>
        <w:rPr>
          <w:rFonts w:ascii="Calibri" w:hAnsi="Calibri" w:cs="Calibri"/>
          <w:color w:val="000000"/>
          <w:shd w:val="clear" w:color="auto" w:fill="FFFFFF"/>
        </w:rPr>
        <w:t xml:space="preserve"> ont rédigé le 20/07/2022 sur le site Infovac un document résumant les enjeux de cette épidémie en pédiatrie : « </w:t>
      </w:r>
      <w:r w:rsidRPr="00530183">
        <w:rPr>
          <w:rFonts w:ascii="Calibri" w:hAnsi="Calibri" w:cs="Calibri"/>
          <w:color w:val="000000"/>
          <w:shd w:val="clear" w:color="auto" w:fill="FFFFFF"/>
        </w:rPr>
        <w:t>Epidémie de variole dite « du singe » ou monkey pox : place des enfants et préconisations actuelles du GPIP et de la SFP</w:t>
      </w:r>
      <w:r>
        <w:rPr>
          <w:rFonts w:ascii="Calibri" w:hAnsi="Calibri" w:cs="Calibri"/>
          <w:color w:val="000000"/>
          <w:shd w:val="clear" w:color="auto" w:fill="FFFFFF"/>
        </w:rPr>
        <w:t> »</w:t>
      </w:r>
    </w:p>
    <w:p w14:paraId="059E38F9" w14:textId="77777777" w:rsidR="00530183" w:rsidRDefault="00000000" w:rsidP="003846B9">
      <w:pPr>
        <w:shd w:val="clear" w:color="auto" w:fill="FFFFFF"/>
        <w:spacing w:after="0" w:line="240" w:lineRule="auto"/>
        <w:jc w:val="both"/>
        <w:textAlignment w:val="center"/>
        <w:rPr>
          <w:rFonts w:ascii="Calibri" w:hAnsi="Calibri" w:cs="Calibri"/>
          <w:color w:val="000000"/>
          <w:shd w:val="clear" w:color="auto" w:fill="FFFFFF"/>
        </w:rPr>
      </w:pPr>
      <w:hyperlink r:id="rId6" w:history="1">
        <w:r w:rsidR="00530183" w:rsidRPr="00CC6EC7">
          <w:rPr>
            <w:rStyle w:val="Lienhypertexte"/>
            <w:rFonts w:ascii="Calibri" w:hAnsi="Calibri" w:cs="Calibri"/>
            <w:shd w:val="clear" w:color="auto" w:fill="FFFFFF"/>
          </w:rPr>
          <w:t>https://www.infovac.fr/actualites/epidemie-de-variole-dite-du-singe-ou-monkey-pox-place-des-enfants-et-preconisations-actuelles-du-gpip-et-de-la-sfp</w:t>
        </w:r>
      </w:hyperlink>
      <w:r w:rsidR="00530183">
        <w:rPr>
          <w:rFonts w:ascii="Calibri" w:hAnsi="Calibri" w:cs="Calibri"/>
          <w:color w:val="000000"/>
          <w:shd w:val="clear" w:color="auto" w:fill="FFFFFF"/>
        </w:rPr>
        <w:t xml:space="preserve"> </w:t>
      </w:r>
    </w:p>
    <w:p w14:paraId="21FC6DEB" w14:textId="77777777" w:rsidR="00530183" w:rsidRDefault="00530183" w:rsidP="003846B9">
      <w:pPr>
        <w:shd w:val="clear" w:color="auto" w:fill="FFFFFF"/>
        <w:spacing w:after="0" w:line="240" w:lineRule="auto"/>
        <w:jc w:val="both"/>
        <w:textAlignment w:val="center"/>
        <w:rPr>
          <w:rFonts w:ascii="Calibri" w:hAnsi="Calibri" w:cs="Calibri"/>
          <w:color w:val="000000"/>
          <w:shd w:val="clear" w:color="auto" w:fill="FFFFFF"/>
        </w:rPr>
      </w:pPr>
    </w:p>
    <w:p w14:paraId="6C119275" w14:textId="77777777" w:rsidR="00530183" w:rsidRDefault="00530183" w:rsidP="00530183">
      <w:pPr>
        <w:shd w:val="clear" w:color="auto" w:fill="FFFFFF"/>
        <w:spacing w:after="0" w:line="240" w:lineRule="auto"/>
        <w:jc w:val="both"/>
        <w:textAlignment w:val="center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Enfin, </w:t>
      </w:r>
      <w:r w:rsidRPr="00AA4CEC">
        <w:rPr>
          <w:rFonts w:ascii="Calibri" w:hAnsi="Calibri" w:cs="Calibri"/>
          <w:b/>
          <w:color w:val="000000"/>
          <w:shd w:val="clear" w:color="auto" w:fill="FFFFFF"/>
        </w:rPr>
        <w:t>l’ANSM</w:t>
      </w:r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E55CE4">
        <w:rPr>
          <w:rFonts w:ascii="Calibri" w:hAnsi="Calibri" w:cs="Calibri"/>
          <w:color w:val="000000"/>
          <w:shd w:val="clear" w:color="auto" w:fill="FFFFFF"/>
        </w:rPr>
        <w:t>a publié une mise à jour le 20/06/2022 concernant les indications de vaccination notamment des cas contacts en pédiatrie.</w:t>
      </w:r>
    </w:p>
    <w:p w14:paraId="792C7448" w14:textId="77777777" w:rsidR="00E55CE4" w:rsidRDefault="00000000" w:rsidP="00530183">
      <w:pPr>
        <w:shd w:val="clear" w:color="auto" w:fill="FFFFFF"/>
        <w:spacing w:after="0" w:line="240" w:lineRule="auto"/>
        <w:jc w:val="both"/>
        <w:textAlignment w:val="center"/>
        <w:rPr>
          <w:rFonts w:ascii="Calibri" w:hAnsi="Calibri" w:cs="Calibri"/>
          <w:color w:val="000000"/>
          <w:shd w:val="clear" w:color="auto" w:fill="FFFFFF"/>
        </w:rPr>
      </w:pPr>
      <w:hyperlink r:id="rId7" w:history="1">
        <w:r w:rsidR="00E55CE4" w:rsidRPr="00CC6EC7">
          <w:rPr>
            <w:rStyle w:val="Lienhypertexte"/>
            <w:rFonts w:ascii="Calibri" w:hAnsi="Calibri" w:cs="Calibri"/>
            <w:shd w:val="clear" w:color="auto" w:fill="FFFFFF"/>
          </w:rPr>
          <w:t>https://ansm.sante.fr/uploads/2022/06/20/20220617-avis-ansm-mkp-vaccins.pdf</w:t>
        </w:r>
      </w:hyperlink>
      <w:r w:rsidR="00E55CE4">
        <w:rPr>
          <w:rFonts w:ascii="Calibri" w:hAnsi="Calibri" w:cs="Calibri"/>
          <w:color w:val="000000"/>
          <w:shd w:val="clear" w:color="auto" w:fill="FFFFFF"/>
        </w:rPr>
        <w:t xml:space="preserve"> </w:t>
      </w:r>
    </w:p>
    <w:p w14:paraId="3975F002" w14:textId="77777777" w:rsidR="00530183" w:rsidRPr="00BD266E" w:rsidRDefault="00530183" w:rsidP="00530183">
      <w:pPr>
        <w:shd w:val="clear" w:color="auto" w:fill="FFFFFF"/>
        <w:spacing w:after="0" w:line="240" w:lineRule="auto"/>
        <w:jc w:val="both"/>
        <w:textAlignment w:val="center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fr-FR"/>
        </w:rPr>
      </w:pPr>
    </w:p>
    <w:p w14:paraId="7C854E52" w14:textId="77777777" w:rsidR="00E55CE4" w:rsidRPr="003137C9" w:rsidRDefault="003137C9" w:rsidP="003846B9">
      <w:pPr>
        <w:shd w:val="clear" w:color="auto" w:fill="FFFFFF"/>
        <w:spacing w:after="0" w:line="240" w:lineRule="auto"/>
        <w:jc w:val="both"/>
        <w:textAlignment w:val="center"/>
        <w:rPr>
          <w:rFonts w:ascii="Calibri" w:eastAsia="Times New Roman" w:hAnsi="Calibri" w:cs="Calibri"/>
          <w:color w:val="000000"/>
          <w:sz w:val="24"/>
          <w:szCs w:val="24"/>
          <w:u w:val="single"/>
          <w:shd w:val="clear" w:color="auto" w:fill="FFFFFF"/>
          <w:lang w:eastAsia="fr-FR"/>
        </w:rPr>
      </w:pPr>
      <w:r w:rsidRPr="003137C9">
        <w:rPr>
          <w:rFonts w:ascii="Calibri" w:eastAsia="Times New Roman" w:hAnsi="Calibri" w:cs="Calibri"/>
          <w:color w:val="000000"/>
          <w:sz w:val="24"/>
          <w:szCs w:val="24"/>
          <w:u w:val="single"/>
          <w:shd w:val="clear" w:color="auto" w:fill="FFFFFF"/>
          <w:lang w:eastAsia="fr-FR"/>
        </w:rPr>
        <w:t>La maladie en pédiatrie</w:t>
      </w:r>
      <w:r w:rsidR="00BD266E" w:rsidRPr="00BD266E">
        <w:rPr>
          <w:rFonts w:ascii="Calibri" w:eastAsia="Times New Roman" w:hAnsi="Calibri" w:cs="Calibri"/>
          <w:color w:val="000000"/>
          <w:sz w:val="24"/>
          <w:szCs w:val="24"/>
          <w:u w:val="single"/>
          <w:shd w:val="clear" w:color="auto" w:fill="FFFFFF"/>
          <w:lang w:eastAsia="fr-FR"/>
        </w:rPr>
        <w:t xml:space="preserve"> quelques mots</w:t>
      </w:r>
      <w:r w:rsidR="00E55CE4" w:rsidRPr="003137C9">
        <w:rPr>
          <w:rFonts w:ascii="Calibri" w:eastAsia="Times New Roman" w:hAnsi="Calibri" w:cs="Calibri"/>
          <w:color w:val="000000"/>
          <w:sz w:val="24"/>
          <w:szCs w:val="24"/>
          <w:u w:val="single"/>
          <w:shd w:val="clear" w:color="auto" w:fill="FFFFFF"/>
          <w:lang w:eastAsia="fr-FR"/>
        </w:rPr>
        <w:t> :</w:t>
      </w:r>
    </w:p>
    <w:p w14:paraId="211A9893" w14:textId="77777777" w:rsidR="0064665C" w:rsidRDefault="008E1E8D" w:rsidP="00F16984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center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fr-FR"/>
        </w:rPr>
      </w:pPr>
      <w:r w:rsidRPr="0064665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fr-FR"/>
        </w:rPr>
        <w:t>La transmission sembl</w:t>
      </w:r>
      <w:r w:rsidR="003137C9" w:rsidRPr="0064665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fr-FR"/>
        </w:rPr>
        <w:t>e être liée à un contact étroit avec le cas index</w:t>
      </w:r>
      <w:r w:rsidR="00AA4CE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fr-FR"/>
        </w:rPr>
        <w:t>. I</w:t>
      </w:r>
      <w:r w:rsidR="003137C9" w:rsidRPr="0064665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fr-FR"/>
        </w:rPr>
        <w:t>l existe un portage dans les voies aériennes</w:t>
      </w:r>
      <w:r w:rsidR="00AA4CE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fr-FR"/>
        </w:rPr>
        <w:t xml:space="preserve"> mais les transmissions semblent très rares</w:t>
      </w:r>
      <w:r w:rsidR="003137C9" w:rsidRPr="0064665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fr-FR"/>
        </w:rPr>
        <w:t>.</w:t>
      </w:r>
    </w:p>
    <w:p w14:paraId="145C11C0" w14:textId="77777777" w:rsidR="008E1E8D" w:rsidRPr="0064665C" w:rsidRDefault="008E1E8D" w:rsidP="0064665C">
      <w:pPr>
        <w:pStyle w:val="Paragraphedeliste"/>
        <w:shd w:val="clear" w:color="auto" w:fill="FFFFFF"/>
        <w:spacing w:after="0" w:line="240" w:lineRule="auto"/>
        <w:jc w:val="both"/>
        <w:textAlignment w:val="center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fr-FR"/>
        </w:rPr>
      </w:pPr>
      <w:r w:rsidRPr="0064665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fr-FR"/>
        </w:rPr>
        <w:t>En France les cas pédiatriques restent très rares avec 2 cas rapportés au 12/07/2022.</w:t>
      </w:r>
      <w:r w:rsidR="003137C9" w:rsidRPr="0064665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fr-FR"/>
        </w:rPr>
        <w:t xml:space="preserve"> On considère actuellement que le risque est extrêmement faible.</w:t>
      </w:r>
    </w:p>
    <w:p w14:paraId="2B21BE21" w14:textId="77777777" w:rsidR="008E1E8D" w:rsidRDefault="008E1E8D" w:rsidP="00E55CE4">
      <w:pPr>
        <w:shd w:val="clear" w:color="auto" w:fill="FFFFFF"/>
        <w:spacing w:after="0" w:line="240" w:lineRule="auto"/>
        <w:jc w:val="both"/>
        <w:textAlignment w:val="center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fr-FR"/>
        </w:rPr>
      </w:pPr>
    </w:p>
    <w:p w14:paraId="4887C77D" w14:textId="77777777" w:rsidR="003137C9" w:rsidRDefault="00E55CE4" w:rsidP="003137C9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center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fr-FR"/>
        </w:rPr>
      </w:pPr>
      <w:r w:rsidRPr="003137C9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fr-FR"/>
        </w:rPr>
        <w:t xml:space="preserve">Les symptômes habituels sont une </w:t>
      </w:r>
      <w:r w:rsidRPr="003137C9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fr-FR"/>
        </w:rPr>
        <w:t>éruption vésiculeuse fébrile</w:t>
      </w:r>
      <w:r w:rsidRPr="003137C9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fr-FR"/>
        </w:rPr>
        <w:t xml:space="preserve"> touchant le visage les membres avec atteinte des paumes des mains et des pieds</w:t>
      </w:r>
      <w:r w:rsidR="003137C9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fr-FR"/>
        </w:rPr>
        <w:t>,</w:t>
      </w:r>
      <w:r w:rsidRPr="003137C9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fr-FR"/>
        </w:rPr>
        <w:t xml:space="preserve"> (moins le tronc), les organes génitaux, les muqueuses dont la bouche et les conjonctives. Les vésicules évoluent vers des croûtes puis la cicatrisation sur un mode assez long (14 à 28 jours). (La symptomatologie est proche de celle de la variole, qui a été déclarée éradiquée en 1980). Cette éruption peut s’accompagner de </w:t>
      </w:r>
      <w:r w:rsidRPr="003137C9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fr-FR"/>
        </w:rPr>
        <w:t>fièvre, de maux de tête, de courbatures et d’asthénie. On peut trouver également des adé</w:t>
      </w:r>
      <w:r w:rsidR="003137C9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fr-FR"/>
        </w:rPr>
        <w:t>nopathies</w:t>
      </w:r>
      <w:r w:rsidRPr="003137C9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fr-FR"/>
        </w:rPr>
        <w:t xml:space="preserve"> cervicales </w:t>
      </w:r>
      <w:r w:rsidRPr="00AA4CEC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fr-FR"/>
        </w:rPr>
        <w:t>et inguinales</w:t>
      </w:r>
      <w:r w:rsidR="003137C9" w:rsidRPr="00AA4CEC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fr-FR"/>
        </w:rPr>
        <w:t xml:space="preserve"> inflammatoires, d</w:t>
      </w:r>
      <w:r w:rsidRPr="00AA4CEC">
        <w:rPr>
          <w:rFonts w:ascii="Calibri" w:eastAsia="Times New Roman" w:hAnsi="Calibri" w:cs="Calibri"/>
          <w:b/>
          <w:color w:val="000000"/>
          <w:sz w:val="24"/>
          <w:szCs w:val="24"/>
          <w:shd w:val="clear" w:color="auto" w:fill="FFFFFF"/>
          <w:lang w:eastAsia="fr-FR"/>
        </w:rPr>
        <w:t xml:space="preserve">ouloureuses. </w:t>
      </w:r>
    </w:p>
    <w:p w14:paraId="1BFCD589" w14:textId="77777777" w:rsidR="00F02EF4" w:rsidRDefault="00AA4CEC" w:rsidP="0064665C">
      <w:pPr>
        <w:pStyle w:val="Paragraphedeliste"/>
        <w:shd w:val="clear" w:color="auto" w:fill="FFFFFF"/>
        <w:spacing w:after="0" w:line="240" w:lineRule="auto"/>
        <w:jc w:val="both"/>
        <w:textAlignment w:val="center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fr-FR"/>
        </w:rPr>
      </w:pP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fr-FR"/>
        </w:rPr>
        <w:t>Les complications seraien</w:t>
      </w:r>
      <w:r w:rsidR="00E55CE4" w:rsidRPr="003137C9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fr-FR"/>
        </w:rPr>
        <w:t xml:space="preserve">t la </w:t>
      </w:r>
      <w:r w:rsidR="00E55CE4" w:rsidRPr="00AA4CEC">
        <w:rPr>
          <w:rFonts w:ascii="Calibri" w:eastAsia="Times New Roman" w:hAnsi="Calibri" w:cs="Calibri"/>
          <w:b/>
          <w:color w:val="000000"/>
          <w:sz w:val="24"/>
          <w:szCs w:val="24"/>
          <w:shd w:val="clear" w:color="auto" w:fill="FFFFFF"/>
          <w:lang w:eastAsia="fr-FR"/>
        </w:rPr>
        <w:t>surinfection cutanée, les atteintes respiratoires, et neurologiques</w:t>
      </w:r>
      <w:r w:rsidR="003137C9" w:rsidRPr="00AA4CEC">
        <w:rPr>
          <w:rFonts w:ascii="Calibri" w:eastAsia="Times New Roman" w:hAnsi="Calibri" w:cs="Calibri"/>
          <w:b/>
          <w:color w:val="000000"/>
          <w:sz w:val="24"/>
          <w:szCs w:val="24"/>
          <w:shd w:val="clear" w:color="auto" w:fill="FFFFFF"/>
          <w:lang w:eastAsia="fr-FR"/>
        </w:rPr>
        <w:t xml:space="preserve"> (méningo-encéphalites)</w:t>
      </w:r>
      <w:r w:rsidR="00E55CE4" w:rsidRPr="003137C9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fr-FR"/>
        </w:rPr>
        <w:t>.</w:t>
      </w:r>
      <w:r w:rsidR="003137C9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fr-FR"/>
        </w:rPr>
        <w:t xml:space="preserve"> </w:t>
      </w:r>
      <w:r w:rsidR="003137C9" w:rsidRPr="00BD266E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fr-FR"/>
        </w:rPr>
        <w:t>Les enfants seraient plus à risque de forme</w:t>
      </w:r>
      <w:r w:rsidR="003137C9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fr-FR"/>
        </w:rPr>
        <w:t>s</w:t>
      </w:r>
      <w:r w:rsidR="003137C9" w:rsidRPr="00BD266E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fr-FR"/>
        </w:rPr>
        <w:t xml:space="preserve"> grave</w:t>
      </w:r>
      <w:r w:rsidR="003137C9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fr-FR"/>
        </w:rPr>
        <w:t>s</w:t>
      </w:r>
      <w:r w:rsidR="003137C9" w:rsidRPr="00BD266E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fr-FR"/>
        </w:rPr>
        <w:t xml:space="preserve"> que les adultes habituellement symptomatiques</w:t>
      </w:r>
      <w:r w:rsidR="003137C9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fr-FR"/>
        </w:rPr>
        <w:t xml:space="preserve">, mais ces données reposent sur le suivis des cas lors des épidémies « autochtones » en Afrique et 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fr-FR"/>
        </w:rPr>
        <w:t>pourraient être</w:t>
      </w:r>
      <w:r w:rsidR="003137C9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fr-FR"/>
        </w:rPr>
        <w:t xml:space="preserve"> plutôt en lien avec des surinfections cutanées</w:t>
      </w:r>
      <w:r w:rsidR="003137C9" w:rsidRPr="00BD266E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fr-FR"/>
        </w:rPr>
        <w:t xml:space="preserve">. </w:t>
      </w:r>
    </w:p>
    <w:p w14:paraId="4D98BB6A" w14:textId="77777777" w:rsidR="003137C9" w:rsidRDefault="003137C9" w:rsidP="003137C9">
      <w:pPr>
        <w:pStyle w:val="Paragraphedeliste"/>
        <w:shd w:val="clear" w:color="auto" w:fill="FFFFFF"/>
        <w:spacing w:after="0" w:line="240" w:lineRule="auto"/>
        <w:jc w:val="both"/>
        <w:textAlignment w:val="center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fr-FR"/>
        </w:rPr>
      </w:pPr>
    </w:p>
    <w:p w14:paraId="775AB8C2" w14:textId="77777777" w:rsidR="003137C9" w:rsidRPr="003137C9" w:rsidRDefault="003137C9" w:rsidP="003137C9">
      <w:pPr>
        <w:shd w:val="clear" w:color="auto" w:fill="FFFFFF"/>
        <w:spacing w:after="0" w:line="240" w:lineRule="auto"/>
        <w:jc w:val="both"/>
        <w:textAlignment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shd w:val="clear" w:color="auto" w:fill="FFFFFF"/>
          <w:lang w:eastAsia="fr-FR"/>
        </w:rPr>
      </w:pPr>
      <w:r w:rsidRPr="003137C9">
        <w:rPr>
          <w:rFonts w:ascii="Calibri" w:eastAsia="Times New Roman" w:hAnsi="Calibri" w:cs="Calibri"/>
          <w:color w:val="000000"/>
          <w:sz w:val="24"/>
          <w:szCs w:val="24"/>
          <w:u w:val="single"/>
          <w:shd w:val="clear" w:color="auto" w:fill="FFFFFF"/>
          <w:lang w:eastAsia="fr-FR"/>
        </w:rPr>
        <w:t>La prise en charge d’une suspicion clinique :</w:t>
      </w:r>
    </w:p>
    <w:p w14:paraId="6E6ECFDA" w14:textId="77777777" w:rsidR="003137C9" w:rsidRDefault="003137C9" w:rsidP="003137C9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center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fr-FR"/>
        </w:rPr>
      </w:pPr>
      <w:r w:rsidRPr="003137C9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fr-FR"/>
        </w:rPr>
        <w:t xml:space="preserve">Autant que possible </w:t>
      </w:r>
      <w:r w:rsidRPr="003137C9">
        <w:rPr>
          <w:rFonts w:ascii="Calibri" w:eastAsia="Times New Roman" w:hAnsi="Calibri" w:cs="Calibri"/>
          <w:b/>
          <w:color w:val="000000"/>
          <w:sz w:val="24"/>
          <w:szCs w:val="24"/>
          <w:shd w:val="clear" w:color="auto" w:fill="FFFFFF"/>
          <w:lang w:eastAsia="fr-FR"/>
        </w:rPr>
        <w:t>il</w:t>
      </w:r>
      <w:r w:rsidRPr="003137C9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fr-FR"/>
        </w:rPr>
        <w:t xml:space="preserve"> </w:t>
      </w:r>
      <w:r w:rsidRPr="003137C9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fr-FR"/>
        </w:rPr>
        <w:t>ne faut pas que les patients se déplacent</w:t>
      </w:r>
      <w:r w:rsidRPr="003137C9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fr-FR"/>
        </w:rPr>
        <w:t xml:space="preserve"> à l’hôpital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fr-FR"/>
        </w:rPr>
        <w:t>, sauf en cas de doute sur une complication (dermohypodermite, …)</w:t>
      </w:r>
      <w:r w:rsidRPr="003137C9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fr-FR"/>
        </w:rPr>
        <w:t>.</w:t>
      </w:r>
    </w:p>
    <w:p w14:paraId="2C28D542" w14:textId="77777777" w:rsidR="003137C9" w:rsidRPr="00F02EF4" w:rsidRDefault="003137C9" w:rsidP="00BF45B9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center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fr-FR"/>
        </w:rPr>
      </w:pPr>
      <w:r w:rsidRPr="00F02EF4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fr-FR"/>
        </w:rPr>
        <w:t xml:space="preserve">En cas de doute clinique chez un patient, l’évaluation du cas doit être faite au téléphone via le centre 15, qui prendra contact avec les infectiologues adultes et/ou </w:t>
      </w:r>
      <w:r w:rsidRPr="00F02EF4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fr-FR"/>
        </w:rPr>
        <w:lastRenderedPageBreak/>
        <w:t>pédiatriques de l’établissement de santé de référence (ESR) régional.</w:t>
      </w:r>
      <w:r w:rsidR="00F02EF4" w:rsidRPr="00F02EF4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fr-FR"/>
        </w:rPr>
        <w:t xml:space="preserve"> </w:t>
      </w:r>
      <w:r w:rsidR="00F02EF4" w:rsidRPr="00BD266E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fr-FR"/>
        </w:rPr>
        <w:t>Tout prélèvement microbiologique doit être fait ap</w:t>
      </w:r>
      <w:r w:rsidR="00F02EF4" w:rsidRPr="00F02EF4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fr-FR"/>
        </w:rPr>
        <w:t>rès discussion avec le médecin de l’ESR</w:t>
      </w:r>
      <w:r w:rsidR="00F02EF4" w:rsidRPr="00BD266E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fr-FR"/>
        </w:rPr>
        <w:t xml:space="preserve"> </w:t>
      </w:r>
      <w:r w:rsidR="00F02EF4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fr-FR"/>
        </w:rPr>
        <w:t>selon les modalités prédéfinies par l’ESR</w:t>
      </w:r>
      <w:r w:rsidR="00F02EF4" w:rsidRPr="00F02EF4">
        <w:rPr>
          <w:rFonts w:ascii="Calibri" w:eastAsia="Times New Roman" w:hAnsi="Calibri" w:cs="Calibri"/>
          <w:bCs/>
          <w:color w:val="000000"/>
          <w:sz w:val="24"/>
          <w:szCs w:val="24"/>
          <w:shd w:val="clear" w:color="auto" w:fill="FFFFFF"/>
          <w:lang w:eastAsia="fr-FR"/>
        </w:rPr>
        <w:t xml:space="preserve"> : à domicile par une structure mandatée / au laboratoire de l’hôpital selon une filière pré-établie </w:t>
      </w:r>
      <w:r w:rsidR="00F02EF4">
        <w:rPr>
          <w:rFonts w:ascii="Calibri" w:eastAsia="Times New Roman" w:hAnsi="Calibri" w:cs="Calibri"/>
          <w:bCs/>
          <w:color w:val="000000"/>
          <w:sz w:val="24"/>
          <w:szCs w:val="24"/>
          <w:shd w:val="clear" w:color="auto" w:fill="FFFFFF"/>
          <w:lang w:eastAsia="fr-FR"/>
        </w:rPr>
        <w:t>/ ..</w:t>
      </w:r>
      <w:r w:rsidR="00F02EF4" w:rsidRPr="00F02EF4">
        <w:rPr>
          <w:rFonts w:ascii="Calibri" w:eastAsia="Times New Roman" w:hAnsi="Calibri" w:cs="Calibri"/>
          <w:bCs/>
          <w:color w:val="000000"/>
          <w:sz w:val="24"/>
          <w:szCs w:val="24"/>
          <w:shd w:val="clear" w:color="auto" w:fill="FFFFFF"/>
          <w:lang w:eastAsia="fr-FR"/>
        </w:rPr>
        <w:t>.</w:t>
      </w:r>
    </w:p>
    <w:p w14:paraId="358A1095" w14:textId="77777777" w:rsidR="00E55CE4" w:rsidRPr="0064665C" w:rsidRDefault="0064665C" w:rsidP="009F2532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center"/>
        <w:rPr>
          <w:rFonts w:ascii="Calibri" w:eastAsia="Times New Roman" w:hAnsi="Calibri" w:cs="Calibri"/>
          <w:b/>
          <w:color w:val="000000"/>
          <w:sz w:val="24"/>
          <w:szCs w:val="24"/>
          <w:shd w:val="clear" w:color="auto" w:fill="FFFFFF"/>
          <w:lang w:eastAsia="fr-FR"/>
        </w:rPr>
      </w:pPr>
      <w:r w:rsidRPr="0064665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fr-FR"/>
        </w:rPr>
        <w:t xml:space="preserve">Concernant </w:t>
      </w:r>
      <w:r w:rsidR="00F02EF4" w:rsidRPr="0064665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fr-FR"/>
        </w:rPr>
        <w:t xml:space="preserve">la </w:t>
      </w:r>
      <w:r w:rsidR="00F02EF4" w:rsidRPr="0064665C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fr-FR"/>
        </w:rPr>
        <w:t>vaccination des cas contacts à risque</w:t>
      </w:r>
      <w:r w:rsidRPr="0064665C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fr-FR"/>
        </w:rPr>
        <w:t> </w:t>
      </w:r>
      <w:r w:rsidRPr="0064665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fr-FR"/>
        </w:rPr>
        <w:t xml:space="preserve">: 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fr-FR"/>
        </w:rPr>
        <w:t>l</w:t>
      </w:r>
      <w:r w:rsidRPr="0064665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fr-FR"/>
        </w:rPr>
        <w:t>'avis révisé de l'ANSM du 20/06/2022 recommande de discuter la vaccination des enfants au cas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fr-FR"/>
        </w:rPr>
        <w:t xml:space="preserve"> par cas avec un médecin expert.</w:t>
      </w:r>
      <w:r w:rsidRPr="0064665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fr-FR"/>
        </w:rPr>
        <w:t xml:space="preserve"> La vaccination des cas contacts doit être réalisée</w:t>
      </w:r>
      <w:r w:rsidR="009F2532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fr-FR"/>
        </w:rPr>
        <w:t xml:space="preserve"> par le vaccin I</w:t>
      </w:r>
      <w:r w:rsidR="009F2532" w:rsidRPr="009F2532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fr-FR"/>
        </w:rPr>
        <w:t>mvanex®</w:t>
      </w:r>
      <w:r w:rsidR="00AA4CE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fr-FR"/>
        </w:rPr>
        <w:t xml:space="preserve"> 3</w:t>
      </w:r>
      <w:r w:rsidR="00AA4CEC" w:rsidRPr="00AA4CE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vertAlign w:val="superscript"/>
          <w:lang w:eastAsia="fr-FR"/>
        </w:rPr>
        <w:t>e</w:t>
      </w:r>
      <w:r w:rsidR="00AA4CE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fr-FR"/>
        </w:rPr>
        <w:t xml:space="preserve"> génération</w:t>
      </w:r>
      <w:r w:rsidRPr="0064665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fr-FR"/>
        </w:rPr>
        <w:t xml:space="preserve"> </w:t>
      </w:r>
      <w:r w:rsidRPr="0064665C">
        <w:rPr>
          <w:rFonts w:ascii="Calibri" w:eastAsia="Times New Roman" w:hAnsi="Calibri" w:cs="Calibri"/>
          <w:b/>
          <w:color w:val="000000"/>
          <w:sz w:val="24"/>
          <w:szCs w:val="24"/>
          <w:shd w:val="clear" w:color="auto" w:fill="FFFFFF"/>
          <w:lang w:eastAsia="fr-FR"/>
        </w:rPr>
        <w:t>dans l</w:t>
      </w:r>
      <w:r w:rsidR="009F2532">
        <w:rPr>
          <w:rFonts w:ascii="Calibri" w:eastAsia="Times New Roman" w:hAnsi="Calibri" w:cs="Calibri"/>
          <w:b/>
          <w:color w:val="000000"/>
          <w:sz w:val="24"/>
          <w:szCs w:val="24"/>
          <w:shd w:val="clear" w:color="auto" w:fill="FFFFFF"/>
          <w:lang w:eastAsia="fr-FR"/>
        </w:rPr>
        <w:t>es 4 jours qui suivent le contact à risque</w:t>
      </w:r>
      <w:r w:rsidRPr="0064665C">
        <w:rPr>
          <w:rFonts w:ascii="Calibri" w:eastAsia="Times New Roman" w:hAnsi="Calibri" w:cs="Calibri"/>
          <w:b/>
          <w:color w:val="000000"/>
          <w:sz w:val="24"/>
          <w:szCs w:val="24"/>
          <w:shd w:val="clear" w:color="auto" w:fill="FFFFFF"/>
          <w:lang w:eastAsia="fr-FR"/>
        </w:rPr>
        <w:t>, mais est envisageable jusqu'à 14 jours après.</w:t>
      </w:r>
    </w:p>
    <w:p w14:paraId="0CAAE22C" w14:textId="77777777" w:rsidR="003846B9" w:rsidRPr="00AA4CEC" w:rsidRDefault="003846B9" w:rsidP="00AA4CEC">
      <w:pPr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fr-FR"/>
        </w:rPr>
      </w:pPr>
    </w:p>
    <w:sectPr w:rsidR="003846B9" w:rsidRPr="00AA4C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D7CC7"/>
    <w:multiLevelType w:val="hybridMultilevel"/>
    <w:tmpl w:val="A8DCA5EC"/>
    <w:lvl w:ilvl="0" w:tplc="1C4E1C9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A338C"/>
    <w:multiLevelType w:val="hybridMultilevel"/>
    <w:tmpl w:val="1B4EFD66"/>
    <w:lvl w:ilvl="0" w:tplc="F2E0149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0297176">
    <w:abstractNumId w:val="0"/>
  </w:num>
  <w:num w:numId="2" w16cid:durableId="1512258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612"/>
    <w:rsid w:val="003137C9"/>
    <w:rsid w:val="003846B9"/>
    <w:rsid w:val="00497C4F"/>
    <w:rsid w:val="004C79D0"/>
    <w:rsid w:val="00530183"/>
    <w:rsid w:val="0064665C"/>
    <w:rsid w:val="00733612"/>
    <w:rsid w:val="008E1E8D"/>
    <w:rsid w:val="009F2532"/>
    <w:rsid w:val="00AA4CEC"/>
    <w:rsid w:val="00BD266E"/>
    <w:rsid w:val="00E55CE4"/>
    <w:rsid w:val="00F0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29729"/>
  <w15:chartTrackingRefBased/>
  <w15:docId w15:val="{C718137A-C2C7-4759-BA28-3944BAC8B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D266E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384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1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9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6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0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32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66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18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066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901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884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192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4920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5879447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0775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0123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964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3552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76558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4120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72290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0743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15117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52538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942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12524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19564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822165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941885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95023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97863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403732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616870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60822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8106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071569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687950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41839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744377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379764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558711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28816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59787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nsm.sante.fr/uploads/2022/06/20/20220617-avis-ansm-mkp-vaccin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fovac.fr/actualites/epidemie-de-variole-dite-du-singe-ou-monkey-pox-place-des-enfants-et-preconisations-actuelles-du-gpip-et-de-la-sfp" TargetMode="External"/><Relationship Id="rId5" Type="http://schemas.openxmlformats.org/officeDocument/2006/relationships/hyperlink" Target="https://www.sfdermato.org/upload/news/groupemonkeypeauxfinal-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632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CHU-NANTES</Company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SANTY Coline</dc:creator>
  <cp:keywords/>
  <dc:description/>
  <cp:lastModifiedBy>Hélène COINEAU</cp:lastModifiedBy>
  <cp:revision>2</cp:revision>
  <dcterms:created xsi:type="dcterms:W3CDTF">2022-08-09T08:01:00Z</dcterms:created>
  <dcterms:modified xsi:type="dcterms:W3CDTF">2022-08-09T08:01:00Z</dcterms:modified>
</cp:coreProperties>
</file>