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0662" w14:textId="77777777" w:rsidR="00F34FA6" w:rsidRPr="00747E16" w:rsidRDefault="00F34FA6" w:rsidP="00747E16">
      <w:pPr>
        <w:pStyle w:val="Titre4"/>
        <w:numPr>
          <w:ilvl w:val="0"/>
          <w:numId w:val="0"/>
        </w:numPr>
        <w:spacing w:after="240"/>
        <w:ind w:left="360" w:hanging="360"/>
        <w:jc w:val="center"/>
        <w:rPr>
          <w:sz w:val="28"/>
        </w:rPr>
      </w:pPr>
      <w:r w:rsidRPr="00747E16">
        <w:rPr>
          <w:sz w:val="28"/>
        </w:rPr>
        <w:t xml:space="preserve">Point d’actualités sur les infections à </w:t>
      </w:r>
      <w:proofErr w:type="spellStart"/>
      <w:r w:rsidR="009B21C6">
        <w:rPr>
          <w:sz w:val="28"/>
        </w:rPr>
        <w:t>Enterovirus</w:t>
      </w:r>
      <w:proofErr w:type="spellEnd"/>
      <w:r w:rsidR="009B21C6">
        <w:rPr>
          <w:sz w:val="28"/>
        </w:rPr>
        <w:t xml:space="preserve"> </w:t>
      </w:r>
      <w:r w:rsidRPr="00747E16">
        <w:rPr>
          <w:sz w:val="28"/>
        </w:rPr>
        <w:t>D68</w:t>
      </w:r>
    </w:p>
    <w:p w14:paraId="6FD39EB6" w14:textId="77777777" w:rsidR="00F34FA6" w:rsidRPr="00604A76" w:rsidRDefault="009B21C6" w:rsidP="00F34FA6">
      <w:pPr>
        <w:ind w:firstLine="708"/>
        <w:rPr>
          <w:sz w:val="22"/>
        </w:rPr>
      </w:pPr>
      <w:r>
        <w:rPr>
          <w:sz w:val="22"/>
        </w:rPr>
        <w:t xml:space="preserve">En </w:t>
      </w:r>
      <w:r w:rsidR="00F34FA6" w:rsidRPr="00604A76">
        <w:rPr>
          <w:sz w:val="22"/>
        </w:rPr>
        <w:t>2022, les USA ont signalé une recrudescence des infections respiratoires aiguës et des exacerbations d’asthme en pédiatrie à partir de la semaine 33. Au 20 Septembre, 260 cas d’infections à EV-D68 avaient été répertoriés par le New Vaccine</w:t>
      </w:r>
      <w:r w:rsidR="00823A27">
        <w:rPr>
          <w:sz w:val="22"/>
        </w:rPr>
        <w:t xml:space="preserve"> Surveillance Network (NVSN) (4,</w:t>
      </w:r>
      <w:r w:rsidR="00F34FA6" w:rsidRPr="00604A76">
        <w:rPr>
          <w:sz w:val="22"/>
        </w:rPr>
        <w:t xml:space="preserve">6% des prélèvements testés depuis Mars 2022) avec une franche augmentation du </w:t>
      </w:r>
      <w:r>
        <w:rPr>
          <w:sz w:val="22"/>
        </w:rPr>
        <w:t>nombre</w:t>
      </w:r>
      <w:r w:rsidR="00F34FA6" w:rsidRPr="00604A76">
        <w:rPr>
          <w:sz w:val="22"/>
        </w:rPr>
        <w:t xml:space="preserve"> d’échantillons respiratoires positifs </w:t>
      </w:r>
      <w:r>
        <w:rPr>
          <w:sz w:val="22"/>
        </w:rPr>
        <w:t>à</w:t>
      </w:r>
      <w:r w:rsidR="00F34FA6" w:rsidRPr="00604A76">
        <w:rPr>
          <w:sz w:val="22"/>
        </w:rPr>
        <w:t xml:space="preserve"> EV-D68 parmi les échantillons détectés EV/rhino positifs (50% de positivité en semaine 32) (Ma et al., MMWR, 2022). En parallèle, l’évolution du nombre de cas de myélites en semaine 35 </w:t>
      </w:r>
      <w:r>
        <w:rPr>
          <w:sz w:val="22"/>
        </w:rPr>
        <w:t>se superposait</w:t>
      </w:r>
      <w:r w:rsidR="00F34FA6" w:rsidRPr="00604A76">
        <w:rPr>
          <w:sz w:val="22"/>
        </w:rPr>
        <w:t xml:space="preserve"> à celle observée en 2018</w:t>
      </w:r>
      <w:r>
        <w:rPr>
          <w:sz w:val="22"/>
        </w:rPr>
        <w:t xml:space="preserve">, année marquée par une forte </w:t>
      </w:r>
      <w:r w:rsidR="00F34FA6" w:rsidRPr="00604A76">
        <w:rPr>
          <w:sz w:val="22"/>
        </w:rPr>
        <w:t xml:space="preserve"> recrudescence des myélites (AFM </w:t>
      </w:r>
      <w:proofErr w:type="spellStart"/>
      <w:r w:rsidR="00F34FA6" w:rsidRPr="00604A76">
        <w:rPr>
          <w:sz w:val="22"/>
        </w:rPr>
        <w:t>working</w:t>
      </w:r>
      <w:proofErr w:type="spellEnd"/>
      <w:r w:rsidR="00F34FA6" w:rsidRPr="00604A76">
        <w:rPr>
          <w:sz w:val="22"/>
        </w:rPr>
        <w:t xml:space="preserve"> group, 2022, </w:t>
      </w:r>
      <w:hyperlink r:id="rId5" w:history="1">
        <w:r w:rsidR="00C21504" w:rsidRPr="00E106EC">
          <w:rPr>
            <w:rStyle w:val="Lienhypertexte"/>
            <w:rFonts w:ascii="Calibri" w:hAnsi="Calibri" w:cs="Calibri"/>
            <w:sz w:val="22"/>
          </w:rPr>
          <w:t>https://acuteflaccidmyelitis.org/</w:t>
        </w:r>
      </w:hyperlink>
      <w:r w:rsidR="00F34FA6" w:rsidRPr="00604A76">
        <w:rPr>
          <w:sz w:val="22"/>
        </w:rPr>
        <w:t>).</w:t>
      </w:r>
    </w:p>
    <w:p w14:paraId="247CA668" w14:textId="77777777" w:rsidR="00F34FA6" w:rsidRDefault="00F34FA6" w:rsidP="00747E16">
      <w:pPr>
        <w:rPr>
          <w:rFonts w:asciiTheme="majorHAnsi" w:eastAsiaTheme="majorEastAsia" w:hAnsiTheme="majorHAnsi" w:cstheme="majorBidi"/>
          <w:b/>
          <w:iCs/>
          <w:color w:val="0000FF"/>
          <w:sz w:val="22"/>
        </w:rPr>
      </w:pPr>
    </w:p>
    <w:p w14:paraId="5D0898C1" w14:textId="77777777" w:rsidR="00F34FA6" w:rsidRPr="00747E16" w:rsidRDefault="00F34FA6" w:rsidP="00747E16">
      <w:pPr>
        <w:rPr>
          <w:color w:val="0000FF"/>
          <w:u w:val="single"/>
        </w:rPr>
      </w:pPr>
      <w:r w:rsidRPr="00747E16">
        <w:rPr>
          <w:rFonts w:asciiTheme="majorHAnsi" w:eastAsiaTheme="majorEastAsia" w:hAnsiTheme="majorHAnsi" w:cstheme="majorBidi"/>
          <w:b/>
          <w:iCs/>
          <w:color w:val="0000FF"/>
          <w:sz w:val="22"/>
          <w:u w:val="single"/>
        </w:rPr>
        <w:t>Surveillance des infections à EV-D68</w:t>
      </w:r>
    </w:p>
    <w:p w14:paraId="2DD90E10" w14:textId="6AA4A9A8" w:rsidR="004C52E0" w:rsidRPr="00604A76" w:rsidRDefault="004C52E0" w:rsidP="004C52E0">
      <w:pPr>
        <w:adjustRightInd w:val="0"/>
        <w:spacing w:line="276" w:lineRule="auto"/>
        <w:ind w:firstLine="360"/>
        <w:rPr>
          <w:rFonts w:eastAsia="Calibri" w:cstheme="minorHAnsi"/>
          <w:sz w:val="22"/>
        </w:rPr>
      </w:pPr>
      <w:r w:rsidRPr="00604A76">
        <w:rPr>
          <w:rFonts w:eastAsia="Calibri" w:cstheme="minorHAnsi"/>
          <w:sz w:val="22"/>
        </w:rPr>
        <w:t xml:space="preserve">Depuis 2014, l’EV-D68 a émergé comme un virus significatif à l’origine d’infections respiratoires sévères et de tableaux neurologiques graves. Le potentiel épidémique et la gravité des tableaux neurologiques justifient une surveillance spécifique de l’EV-68 </w:t>
      </w:r>
      <w:r w:rsidR="00EB20B5" w:rsidRPr="00604A76">
        <w:rPr>
          <w:rFonts w:eastAsia="Calibri" w:cstheme="minorHAnsi"/>
          <w:sz w:val="22"/>
        </w:rPr>
        <w:t xml:space="preserve">s’appuyant le plus souvent sur les réseaux de surveillance des </w:t>
      </w:r>
      <w:proofErr w:type="spellStart"/>
      <w:r w:rsidR="00EB20B5" w:rsidRPr="00604A76">
        <w:rPr>
          <w:rFonts w:eastAsia="Calibri" w:cstheme="minorHAnsi"/>
          <w:sz w:val="22"/>
        </w:rPr>
        <w:t>Enterovirus</w:t>
      </w:r>
      <w:proofErr w:type="spellEnd"/>
      <w:r w:rsidR="00747E16">
        <w:rPr>
          <w:rFonts w:eastAsia="Calibri" w:cstheme="minorHAnsi"/>
          <w:sz w:val="22"/>
        </w:rPr>
        <w:t xml:space="preserve"> (RSE)</w:t>
      </w:r>
      <w:r w:rsidR="00B1645E">
        <w:rPr>
          <w:rFonts w:eastAsia="Calibri" w:cstheme="minorHAnsi"/>
          <w:sz w:val="22"/>
        </w:rPr>
        <w:t xml:space="preserve"> et </w:t>
      </w:r>
      <w:r w:rsidR="009B21C6">
        <w:rPr>
          <w:rFonts w:eastAsia="Calibri" w:cstheme="minorHAnsi"/>
          <w:sz w:val="22"/>
        </w:rPr>
        <w:t>associé</w:t>
      </w:r>
      <w:r w:rsidR="00B1645E">
        <w:rPr>
          <w:rFonts w:eastAsia="Calibri" w:cstheme="minorHAnsi"/>
          <w:sz w:val="22"/>
        </w:rPr>
        <w:t>e</w:t>
      </w:r>
      <w:r w:rsidR="009B21C6">
        <w:rPr>
          <w:rFonts w:eastAsia="Calibri" w:cstheme="minorHAnsi"/>
          <w:sz w:val="22"/>
        </w:rPr>
        <w:t xml:space="preserve"> à une</w:t>
      </w:r>
      <w:r w:rsidRPr="00604A76">
        <w:rPr>
          <w:rFonts w:eastAsia="Calibri" w:cstheme="minorHAnsi"/>
          <w:sz w:val="22"/>
        </w:rPr>
        <w:t xml:space="preserve"> notification des cas</w:t>
      </w:r>
      <w:r w:rsidR="009B21C6">
        <w:rPr>
          <w:rFonts w:eastAsia="Calibri" w:cstheme="minorHAnsi"/>
          <w:sz w:val="22"/>
        </w:rPr>
        <w:t xml:space="preserve"> de myélites</w:t>
      </w:r>
      <w:r w:rsidRPr="00604A76">
        <w:rPr>
          <w:rFonts w:eastAsia="Calibri" w:cstheme="minorHAnsi"/>
          <w:sz w:val="22"/>
        </w:rPr>
        <w:t xml:space="preserve"> selon les pays</w:t>
      </w:r>
      <w:r w:rsidR="00EB20B5" w:rsidRPr="00604A76">
        <w:rPr>
          <w:rFonts w:eastAsia="Calibri" w:cstheme="minorHAnsi"/>
          <w:sz w:val="22"/>
        </w:rPr>
        <w:t xml:space="preserve"> ou le contexte épidémiologique</w:t>
      </w:r>
      <w:r w:rsidRPr="00604A76">
        <w:rPr>
          <w:rFonts w:eastAsia="Calibri" w:cstheme="minorHAnsi"/>
          <w:sz w:val="22"/>
        </w:rPr>
        <w:t>.</w:t>
      </w:r>
    </w:p>
    <w:p w14:paraId="7AFD4F81" w14:textId="077D2EEF" w:rsidR="00B661FA" w:rsidRPr="00604A76" w:rsidRDefault="004C52E0" w:rsidP="00B661FA">
      <w:pPr>
        <w:adjustRightInd w:val="0"/>
        <w:spacing w:line="276" w:lineRule="auto"/>
        <w:ind w:firstLine="708"/>
        <w:rPr>
          <w:rFonts w:eastAsia="Calibri" w:cstheme="minorHAnsi"/>
          <w:sz w:val="22"/>
        </w:rPr>
      </w:pPr>
      <w:r w:rsidRPr="00604A76">
        <w:rPr>
          <w:rFonts w:eastAsia="Calibri" w:cstheme="minorHAnsi"/>
          <w:sz w:val="22"/>
        </w:rPr>
        <w:t xml:space="preserve">En </w:t>
      </w:r>
      <w:r w:rsidR="00B661FA" w:rsidRPr="00604A76">
        <w:rPr>
          <w:rFonts w:eastAsia="Calibri" w:cstheme="minorHAnsi"/>
          <w:sz w:val="22"/>
        </w:rPr>
        <w:t>France, la surveillance des infections à EV-D68 repose sur le génotypage des échantillons respiratoires positifs en EV ou EV/rhinovirus</w:t>
      </w:r>
      <w:r w:rsidR="00747E16">
        <w:rPr>
          <w:rFonts w:eastAsia="Calibri" w:cstheme="minorHAnsi"/>
          <w:sz w:val="22"/>
        </w:rPr>
        <w:t xml:space="preserve"> ou </w:t>
      </w:r>
      <w:r w:rsidR="00935F3A">
        <w:rPr>
          <w:rFonts w:eastAsia="Calibri" w:cstheme="minorHAnsi"/>
          <w:sz w:val="22"/>
        </w:rPr>
        <w:t>le screening</w:t>
      </w:r>
      <w:r w:rsidR="00747E16">
        <w:rPr>
          <w:rFonts w:eastAsia="Calibri" w:cstheme="minorHAnsi"/>
          <w:sz w:val="22"/>
        </w:rPr>
        <w:t xml:space="preserve"> spécifique </w:t>
      </w:r>
      <w:r w:rsidR="00935F3A">
        <w:rPr>
          <w:rFonts w:eastAsia="Calibri" w:cstheme="minorHAnsi"/>
          <w:sz w:val="22"/>
        </w:rPr>
        <w:t xml:space="preserve">de l’EV-D68 </w:t>
      </w:r>
      <w:r w:rsidR="00747E16">
        <w:rPr>
          <w:rFonts w:eastAsia="Calibri" w:cstheme="minorHAnsi"/>
          <w:sz w:val="22"/>
        </w:rPr>
        <w:t xml:space="preserve">par RT-PCR en temps réel </w:t>
      </w:r>
      <w:r w:rsidR="00935F3A">
        <w:rPr>
          <w:rFonts w:eastAsia="Calibri" w:cstheme="minorHAnsi"/>
          <w:sz w:val="22"/>
        </w:rPr>
        <w:t>(</w:t>
      </w:r>
      <w:proofErr w:type="spellStart"/>
      <w:r w:rsidR="00935F3A">
        <w:rPr>
          <w:rFonts w:eastAsia="Calibri" w:cstheme="minorHAnsi"/>
          <w:sz w:val="22"/>
        </w:rPr>
        <w:t>Poelman</w:t>
      </w:r>
      <w:proofErr w:type="spellEnd"/>
      <w:r w:rsidR="00935F3A">
        <w:rPr>
          <w:rFonts w:eastAsia="Calibri" w:cstheme="minorHAnsi"/>
          <w:sz w:val="22"/>
        </w:rPr>
        <w:t xml:space="preserve"> </w:t>
      </w:r>
      <w:r w:rsidR="00935F3A" w:rsidRPr="00E106EC">
        <w:rPr>
          <w:rFonts w:eastAsia="Calibri" w:cstheme="minorHAnsi"/>
          <w:i/>
          <w:sz w:val="22"/>
        </w:rPr>
        <w:t>et al.</w:t>
      </w:r>
      <w:r w:rsidR="00935F3A">
        <w:rPr>
          <w:rFonts w:eastAsia="Calibri" w:cstheme="minorHAnsi"/>
          <w:sz w:val="22"/>
        </w:rPr>
        <w:t>, 2015)</w:t>
      </w:r>
      <w:r w:rsidR="00B661FA" w:rsidRPr="00604A76">
        <w:rPr>
          <w:rFonts w:eastAsia="Calibri" w:cstheme="minorHAnsi"/>
          <w:sz w:val="22"/>
        </w:rPr>
        <w:t>, recommandé</w:t>
      </w:r>
      <w:r w:rsidR="00747E16">
        <w:rPr>
          <w:rFonts w:eastAsia="Calibri" w:cstheme="minorHAnsi"/>
          <w:sz w:val="22"/>
        </w:rPr>
        <w:t>s</w:t>
      </w:r>
      <w:r w:rsidR="00B661FA" w:rsidRPr="00604A76">
        <w:rPr>
          <w:rFonts w:eastAsia="Calibri" w:cstheme="minorHAnsi"/>
          <w:sz w:val="22"/>
        </w:rPr>
        <w:t xml:space="preserve"> en </w:t>
      </w:r>
      <w:r w:rsidR="00F34FA6">
        <w:rPr>
          <w:rFonts w:eastAsia="Calibri" w:cstheme="minorHAnsi"/>
          <w:sz w:val="22"/>
        </w:rPr>
        <w:t xml:space="preserve">cas </w:t>
      </w:r>
      <w:r w:rsidR="00B661FA" w:rsidRPr="00604A76">
        <w:rPr>
          <w:rFonts w:eastAsia="Calibri" w:cstheme="minorHAnsi"/>
          <w:sz w:val="22"/>
        </w:rPr>
        <w:t>d’atteintes respiratoires ou neurologiques sévères</w:t>
      </w:r>
      <w:r w:rsidR="00747E16">
        <w:rPr>
          <w:rFonts w:eastAsia="Calibri" w:cstheme="minorHAnsi"/>
          <w:sz w:val="22"/>
        </w:rPr>
        <w:t xml:space="preserve"> et en cas d’alerte épidémique</w:t>
      </w:r>
      <w:r w:rsidR="00B661FA" w:rsidRPr="00604A76">
        <w:rPr>
          <w:rFonts w:eastAsia="Calibri" w:cstheme="minorHAnsi"/>
          <w:sz w:val="22"/>
        </w:rPr>
        <w:t xml:space="preserve">. Par ailleurs, une surveillance plus exhaustive est réalisée aux CHU de Lyon et Clermont-Ferrand. </w:t>
      </w:r>
      <w:r w:rsidR="00F34FA6">
        <w:rPr>
          <w:rFonts w:eastAsia="Calibri" w:cstheme="minorHAnsi"/>
          <w:sz w:val="22"/>
        </w:rPr>
        <w:t xml:space="preserve">La surveillance </w:t>
      </w:r>
      <w:r w:rsidR="00B1645E">
        <w:rPr>
          <w:rFonts w:eastAsia="Calibri" w:cstheme="minorHAnsi"/>
          <w:sz w:val="22"/>
        </w:rPr>
        <w:t>plus spécifique</w:t>
      </w:r>
      <w:r w:rsidR="00F34FA6">
        <w:rPr>
          <w:rFonts w:eastAsia="Calibri" w:cstheme="minorHAnsi"/>
          <w:sz w:val="22"/>
        </w:rPr>
        <w:t xml:space="preserve"> des atteintes neurologiques sévères s’appuie sur le génotypage des échantillons positifs à EV dans le </w:t>
      </w:r>
      <w:r w:rsidR="00F34FA6" w:rsidRPr="00604A76">
        <w:rPr>
          <w:rFonts w:eastAsia="Calibri" w:cstheme="minorHAnsi"/>
          <w:sz w:val="22"/>
        </w:rPr>
        <w:t>cadre de la surveillance hospitalière par les labo</w:t>
      </w:r>
      <w:r w:rsidR="00F34FA6">
        <w:rPr>
          <w:rFonts w:eastAsia="Calibri" w:cstheme="minorHAnsi"/>
          <w:sz w:val="22"/>
        </w:rPr>
        <w:t>ratoire</w:t>
      </w:r>
      <w:r w:rsidR="00F34FA6" w:rsidRPr="00604A76">
        <w:rPr>
          <w:rFonts w:eastAsia="Calibri" w:cstheme="minorHAnsi"/>
          <w:sz w:val="22"/>
        </w:rPr>
        <w:t>s du RSE</w:t>
      </w:r>
      <w:r w:rsidR="00F34FA6">
        <w:rPr>
          <w:rFonts w:eastAsia="Calibri" w:cstheme="minorHAnsi"/>
          <w:sz w:val="22"/>
        </w:rPr>
        <w:t xml:space="preserve"> sans notification systématique des cas. </w:t>
      </w:r>
      <w:r w:rsidR="001C0B2C" w:rsidRPr="00604A76">
        <w:rPr>
          <w:rFonts w:eastAsia="Calibri" w:cstheme="minorHAnsi"/>
          <w:sz w:val="22"/>
        </w:rPr>
        <w:t xml:space="preserve">Pour mémoire, </w:t>
      </w:r>
      <w:r w:rsidR="00C74E1B" w:rsidRPr="00604A76">
        <w:rPr>
          <w:rFonts w:eastAsia="Calibri" w:cstheme="minorHAnsi"/>
          <w:sz w:val="22"/>
        </w:rPr>
        <w:t xml:space="preserve">en 2016, </w:t>
      </w:r>
      <w:r w:rsidR="001C0B2C" w:rsidRPr="00604A76">
        <w:rPr>
          <w:rFonts w:eastAsia="Calibri" w:cstheme="minorHAnsi"/>
          <w:sz w:val="22"/>
        </w:rPr>
        <w:t>suite au signalement par la Catalogne et l’hôpital Necker d’une a</w:t>
      </w:r>
      <w:r w:rsidR="00A90E74" w:rsidRPr="00604A76">
        <w:rPr>
          <w:rFonts w:eastAsia="Calibri" w:cstheme="minorHAnsi"/>
          <w:sz w:val="22"/>
        </w:rPr>
        <w:t>u</w:t>
      </w:r>
      <w:r w:rsidR="001C0B2C" w:rsidRPr="00604A76">
        <w:rPr>
          <w:rFonts w:eastAsia="Calibri" w:cstheme="minorHAnsi"/>
          <w:sz w:val="22"/>
        </w:rPr>
        <w:t>gmentation inhabituelle d’atteintes neurologiques sévères en pédiatrie, u</w:t>
      </w:r>
      <w:r w:rsidR="00B661FA" w:rsidRPr="00604A76">
        <w:rPr>
          <w:rFonts w:eastAsia="Calibri" w:cstheme="minorHAnsi"/>
          <w:sz w:val="22"/>
        </w:rPr>
        <w:t xml:space="preserve">ne surveillance renforcée de l’EV-D68 avait été mise en place </w:t>
      </w:r>
      <w:r w:rsidR="00F34FA6">
        <w:rPr>
          <w:rFonts w:eastAsia="Calibri" w:cstheme="minorHAnsi"/>
          <w:sz w:val="22"/>
        </w:rPr>
        <w:t xml:space="preserve">associée à une </w:t>
      </w:r>
      <w:r w:rsidR="001C0B2C" w:rsidRPr="00604A76">
        <w:rPr>
          <w:rFonts w:eastAsia="Calibri" w:cstheme="minorHAnsi"/>
          <w:sz w:val="22"/>
        </w:rPr>
        <w:t>notification des cas neurologiques sévères à Santé Publique France. La notification des cas neurologiques sévères n’a pas été reconduite les années suivantes, en l’absence de signalement clinique majeur.</w:t>
      </w:r>
      <w:r w:rsidR="00F34FA6">
        <w:rPr>
          <w:rFonts w:eastAsia="Calibri" w:cstheme="minorHAnsi"/>
          <w:sz w:val="22"/>
        </w:rPr>
        <w:t xml:space="preserve"> Globalement, l</w:t>
      </w:r>
      <w:r w:rsidR="00C74E1B" w:rsidRPr="00604A76">
        <w:rPr>
          <w:rFonts w:eastAsia="Calibri" w:cstheme="minorHAnsi"/>
          <w:sz w:val="22"/>
        </w:rPr>
        <w:t xml:space="preserve">e nombre de cas d’EV-D68 est largement sous-estimé étant donné que tous les échantillons détectés positifs en EV/rhinovirus ne peuvent pas être </w:t>
      </w:r>
      <w:proofErr w:type="spellStart"/>
      <w:r w:rsidR="00C74E1B" w:rsidRPr="00604A76">
        <w:rPr>
          <w:rFonts w:eastAsia="Calibri" w:cstheme="minorHAnsi"/>
          <w:sz w:val="22"/>
        </w:rPr>
        <w:t>génotypés</w:t>
      </w:r>
      <w:proofErr w:type="spellEnd"/>
      <w:r w:rsidR="00C74E1B" w:rsidRPr="00604A76">
        <w:rPr>
          <w:rFonts w:eastAsia="Calibri" w:cstheme="minorHAnsi"/>
          <w:sz w:val="22"/>
        </w:rPr>
        <w:t>.</w:t>
      </w:r>
    </w:p>
    <w:p w14:paraId="62E003F1" w14:textId="77777777" w:rsidR="00747E16" w:rsidRDefault="00747E16" w:rsidP="00747E16">
      <w:pPr>
        <w:adjustRightInd w:val="0"/>
        <w:spacing w:line="276" w:lineRule="auto"/>
        <w:rPr>
          <w:rFonts w:eastAsia="Calibri" w:cstheme="minorHAnsi"/>
          <w:b/>
          <w:color w:val="0000FF"/>
          <w:sz w:val="22"/>
          <w:u w:val="single"/>
        </w:rPr>
      </w:pPr>
    </w:p>
    <w:p w14:paraId="47042CF6" w14:textId="77777777" w:rsidR="001C0B2C" w:rsidRPr="00E106EC" w:rsidRDefault="00F34FA6" w:rsidP="00747E16">
      <w:pPr>
        <w:adjustRightInd w:val="0"/>
        <w:spacing w:line="276" w:lineRule="auto"/>
        <w:rPr>
          <w:rFonts w:eastAsia="Calibri" w:cstheme="minorHAnsi"/>
          <w:b/>
          <w:color w:val="0000FF"/>
          <w:sz w:val="22"/>
          <w:u w:val="single"/>
        </w:rPr>
      </w:pPr>
      <w:r w:rsidRPr="00E106EC">
        <w:rPr>
          <w:rFonts w:eastAsia="Calibri" w:cstheme="minorHAnsi"/>
          <w:b/>
          <w:color w:val="0000FF"/>
          <w:sz w:val="22"/>
          <w:u w:val="single"/>
        </w:rPr>
        <w:t>Epidémiologie des infections à EV-D68 de 2016 à 2021, France</w:t>
      </w:r>
      <w:r w:rsidR="00B661FA" w:rsidRPr="00E106EC">
        <w:rPr>
          <w:rFonts w:eastAsia="Calibri" w:cstheme="minorHAnsi"/>
          <w:b/>
          <w:color w:val="0000FF"/>
          <w:sz w:val="22"/>
          <w:u w:val="single"/>
        </w:rPr>
        <w:t xml:space="preserve"> </w:t>
      </w:r>
    </w:p>
    <w:p w14:paraId="063DAF3D" w14:textId="77777777" w:rsidR="00A90E74" w:rsidRPr="00604A76" w:rsidRDefault="004C52E0" w:rsidP="00A90E74">
      <w:pPr>
        <w:adjustRightInd w:val="0"/>
        <w:spacing w:line="276" w:lineRule="auto"/>
        <w:ind w:firstLine="708"/>
        <w:rPr>
          <w:sz w:val="22"/>
        </w:rPr>
      </w:pPr>
      <w:r w:rsidRPr="00604A76">
        <w:rPr>
          <w:rFonts w:eastAsia="Calibri" w:cstheme="minorHAnsi"/>
          <w:sz w:val="22"/>
        </w:rPr>
        <w:t>Au total, 514 infections à EV-D68 ont été rapporté</w:t>
      </w:r>
      <w:r w:rsidR="00747E16">
        <w:rPr>
          <w:rFonts w:eastAsia="Calibri" w:cstheme="minorHAnsi"/>
          <w:sz w:val="22"/>
        </w:rPr>
        <w:t>e</w:t>
      </w:r>
      <w:r w:rsidRPr="00604A76">
        <w:rPr>
          <w:rFonts w:eastAsia="Calibri" w:cstheme="minorHAnsi"/>
          <w:sz w:val="22"/>
        </w:rPr>
        <w:t xml:space="preserve">s par le RSE pour la période 2016-2021. </w:t>
      </w:r>
      <w:r w:rsidR="00EB20B5" w:rsidRPr="00604A76">
        <w:rPr>
          <w:rFonts w:eastAsia="Calibri" w:cstheme="minorHAnsi"/>
          <w:sz w:val="22"/>
        </w:rPr>
        <w:t xml:space="preserve">Jusqu’en 2018, les épidémies d’infections à EV-D68 sont survenues sur un mode </w:t>
      </w:r>
      <w:r w:rsidR="00747E16" w:rsidRPr="00604A76">
        <w:rPr>
          <w:rFonts w:eastAsia="Calibri" w:cstheme="minorHAnsi"/>
          <w:sz w:val="22"/>
        </w:rPr>
        <w:t>biennal</w:t>
      </w:r>
      <w:r w:rsidR="00A90E74" w:rsidRPr="00604A76">
        <w:rPr>
          <w:rFonts w:eastAsia="Calibri" w:cstheme="minorHAnsi"/>
          <w:sz w:val="22"/>
        </w:rPr>
        <w:t>, comme dans d’autres pays européens</w:t>
      </w:r>
      <w:r w:rsidR="00EB20B5" w:rsidRPr="00604A76">
        <w:rPr>
          <w:rFonts w:eastAsia="Calibri" w:cstheme="minorHAnsi"/>
          <w:sz w:val="22"/>
        </w:rPr>
        <w:t xml:space="preserve"> et aux USA. Les mesures barrière anti-COVID ont ensuite considérablement ralenti la circulation des EV en 2019 et 2020. Un nouveau pic de circulation d’EV-D68 a été détecté en France à l’automne 2021 à l’instar des autres pays européens (reflet très probable de l’augmentation du réservoir de sujets non immuns et de la levée des mesures barrières</w:t>
      </w:r>
      <w:r w:rsidR="00A90E74" w:rsidRPr="00604A76">
        <w:rPr>
          <w:rFonts w:eastAsia="Calibri" w:cstheme="minorHAnsi"/>
          <w:sz w:val="22"/>
        </w:rPr>
        <w:t>)</w:t>
      </w:r>
      <w:r w:rsidR="00A90E74" w:rsidRPr="00604A76">
        <w:rPr>
          <w:sz w:val="22"/>
        </w:rPr>
        <w:t>. Une surveillance renforcée de l’EV-D68 a été mise en place en Septembre 2021 aux CHU de Lyon et Clermont-Ferrand</w:t>
      </w:r>
      <w:r w:rsidR="00747E16">
        <w:rPr>
          <w:sz w:val="22"/>
        </w:rPr>
        <w:t>, associée à une information auprès du RSE et des neuro-pédiatres. Cette</w:t>
      </w:r>
      <w:r w:rsidR="00A90E74" w:rsidRPr="00604A76">
        <w:rPr>
          <w:sz w:val="22"/>
        </w:rPr>
        <w:t xml:space="preserve"> surveillance n’a pas été étendue à l’ensemble du territoire national à cause de la surcharge de travail liée à la pandémie COVID. </w:t>
      </w:r>
    </w:p>
    <w:p w14:paraId="077870C9" w14:textId="77777777" w:rsidR="004C52E0" w:rsidRPr="00604A76" w:rsidRDefault="004C52E0" w:rsidP="00C74E1B">
      <w:pPr>
        <w:adjustRightInd w:val="0"/>
        <w:spacing w:line="276" w:lineRule="auto"/>
        <w:ind w:firstLine="708"/>
        <w:rPr>
          <w:rFonts w:eastAsia="Calibri" w:cstheme="minorHAnsi"/>
          <w:sz w:val="22"/>
        </w:rPr>
      </w:pPr>
      <w:r w:rsidRPr="00604A76">
        <w:rPr>
          <w:rFonts w:eastAsia="Calibri" w:cstheme="minorHAnsi"/>
          <w:sz w:val="22"/>
        </w:rPr>
        <w:lastRenderedPageBreak/>
        <w:t xml:space="preserve">Les souches d’EV-D68 sont classées en 4 clades A </w:t>
      </w:r>
      <w:r w:rsidRPr="00823A27">
        <w:rPr>
          <w:rFonts w:eastAsia="Calibri" w:cstheme="minorHAnsi"/>
          <w:sz w:val="22"/>
        </w:rPr>
        <w:t>(A1, A2), B (B1 à B3), C et D (D1, D2).</w:t>
      </w:r>
      <w:r w:rsidR="00C74E1B" w:rsidRPr="00604A76">
        <w:rPr>
          <w:rFonts w:eastAsia="Calibri" w:cstheme="minorHAnsi"/>
          <w:sz w:val="22"/>
        </w:rPr>
        <w:t xml:space="preserve"> </w:t>
      </w:r>
      <w:r w:rsidRPr="00604A76">
        <w:rPr>
          <w:rFonts w:eastAsia="Calibri" w:cstheme="minorHAnsi"/>
          <w:sz w:val="22"/>
        </w:rPr>
        <w:t xml:space="preserve">Depuis 2016, le clade B3 est prédominant en France et en </w:t>
      </w:r>
      <w:r w:rsidR="00C74E1B" w:rsidRPr="00604A76">
        <w:rPr>
          <w:rFonts w:eastAsia="Calibri" w:cstheme="minorHAnsi"/>
          <w:sz w:val="22"/>
        </w:rPr>
        <w:t xml:space="preserve">Europe. </w:t>
      </w:r>
      <w:r w:rsidRPr="00604A76">
        <w:rPr>
          <w:rFonts w:eastAsia="Calibri" w:cstheme="minorHAnsi"/>
          <w:sz w:val="22"/>
        </w:rPr>
        <w:t xml:space="preserve">La comparaison des souches séquencées depuis 2016 montre une évolution progressive des souches du clade B3 avec circulation de 2 sous-clades </w:t>
      </w:r>
      <w:r w:rsidR="005C75B0" w:rsidRPr="00604A76">
        <w:rPr>
          <w:rFonts w:eastAsia="Calibri" w:cstheme="minorHAnsi"/>
          <w:sz w:val="22"/>
        </w:rPr>
        <w:t>prédominants</w:t>
      </w:r>
      <w:r w:rsidRPr="00604A76">
        <w:rPr>
          <w:rFonts w:eastAsia="Calibri" w:cstheme="minorHAnsi"/>
          <w:sz w:val="22"/>
        </w:rPr>
        <w:t xml:space="preserve"> en 2021</w:t>
      </w:r>
      <w:r w:rsidR="005C75B0" w:rsidRPr="00604A76">
        <w:rPr>
          <w:rFonts w:eastAsia="Calibri" w:cstheme="minorHAnsi"/>
          <w:sz w:val="22"/>
        </w:rPr>
        <w:t xml:space="preserve"> (B3-US et B3-EU</w:t>
      </w:r>
      <w:r w:rsidR="00747E16">
        <w:rPr>
          <w:rFonts w:eastAsia="Calibri" w:cstheme="minorHAnsi"/>
          <w:sz w:val="22"/>
        </w:rPr>
        <w:t xml:space="preserve">; </w:t>
      </w:r>
      <w:proofErr w:type="spellStart"/>
      <w:r w:rsidR="005C75B0" w:rsidRPr="00604A76">
        <w:rPr>
          <w:rFonts w:eastAsia="Calibri" w:cstheme="minorHAnsi"/>
          <w:sz w:val="22"/>
        </w:rPr>
        <w:t>Hodcroft</w:t>
      </w:r>
      <w:proofErr w:type="spellEnd"/>
      <w:r w:rsidR="005C75B0" w:rsidRPr="00604A76">
        <w:rPr>
          <w:rFonts w:eastAsia="Calibri" w:cstheme="minorHAnsi"/>
          <w:sz w:val="22"/>
        </w:rPr>
        <w:t xml:space="preserve"> et al., 2022)</w:t>
      </w:r>
      <w:r w:rsidRPr="00604A76">
        <w:rPr>
          <w:rFonts w:eastAsia="Calibri" w:cstheme="minorHAnsi"/>
          <w:sz w:val="22"/>
        </w:rPr>
        <w:t xml:space="preserve">. </w:t>
      </w:r>
      <w:r w:rsidR="009B21C6">
        <w:rPr>
          <w:rFonts w:eastAsia="Calibri" w:cstheme="minorHAnsi"/>
          <w:sz w:val="22"/>
        </w:rPr>
        <w:t>Aucune association entre la sévérité des infections ou la survenue des atteintes neurologiques et le clade n’a été démontrée, à l’heure actuelle.</w:t>
      </w:r>
    </w:p>
    <w:p w14:paraId="328B7648" w14:textId="77777777" w:rsidR="004C52E0" w:rsidRPr="00604A76" w:rsidRDefault="005C75B0" w:rsidP="004C52E0">
      <w:pPr>
        <w:spacing w:line="276" w:lineRule="auto"/>
        <w:rPr>
          <w:rFonts w:eastAsia="Calibri" w:cstheme="minorHAnsi"/>
          <w:b/>
          <w:sz w:val="22"/>
        </w:rPr>
      </w:pPr>
      <w:r w:rsidRPr="00604A76">
        <w:rPr>
          <w:rFonts w:eastAsia="Calibri" w:cstheme="minorHAnsi"/>
          <w:b/>
          <w:sz w:val="22"/>
        </w:rPr>
        <w:t xml:space="preserve">Tableau </w:t>
      </w:r>
      <w:r w:rsidR="00747E16">
        <w:rPr>
          <w:rFonts w:eastAsia="Calibri" w:cstheme="minorHAnsi"/>
          <w:b/>
          <w:sz w:val="22"/>
        </w:rPr>
        <w:t>1</w:t>
      </w:r>
      <w:r w:rsidR="004C52E0" w:rsidRPr="00604A76">
        <w:rPr>
          <w:rFonts w:eastAsia="Calibri" w:cstheme="minorHAnsi"/>
          <w:b/>
          <w:sz w:val="22"/>
        </w:rPr>
        <w:t>. Distribution d</w:t>
      </w:r>
      <w:r w:rsidRPr="00604A76">
        <w:rPr>
          <w:rFonts w:eastAsia="Calibri" w:cstheme="minorHAnsi"/>
          <w:b/>
          <w:sz w:val="22"/>
        </w:rPr>
        <w:t>u nombre de cas et d</w:t>
      </w:r>
      <w:r w:rsidR="004C52E0" w:rsidRPr="00604A76">
        <w:rPr>
          <w:rFonts w:eastAsia="Calibri" w:cstheme="minorHAnsi"/>
          <w:b/>
          <w:sz w:val="22"/>
        </w:rPr>
        <w:t xml:space="preserve">es clades d’EV-D68, 2016-2021 </w:t>
      </w:r>
    </w:p>
    <w:tbl>
      <w:tblPr>
        <w:tblW w:w="8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3000"/>
        <w:gridCol w:w="2244"/>
      </w:tblGrid>
      <w:tr w:rsidR="004C52E0" w:rsidRPr="00604A76" w14:paraId="748E6ED3" w14:textId="77777777" w:rsidTr="00577D77">
        <w:trPr>
          <w:trHeight w:val="315"/>
          <w:jc w:val="center"/>
        </w:trPr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88E4" w14:textId="77777777" w:rsidR="004C52E0" w:rsidRPr="00604A76" w:rsidRDefault="004C52E0" w:rsidP="00577D77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2"/>
              </w:rPr>
            </w:pPr>
            <w:r w:rsidRPr="00604A76">
              <w:rPr>
                <w:rFonts w:cstheme="minorHAnsi"/>
                <w:b/>
                <w:bCs/>
                <w:color w:val="000000"/>
                <w:sz w:val="22"/>
              </w:rPr>
              <w:t xml:space="preserve">Année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1596A" w14:textId="77777777" w:rsidR="004C52E0" w:rsidRPr="00604A76" w:rsidRDefault="004C52E0" w:rsidP="00577D77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2"/>
              </w:rPr>
            </w:pPr>
            <w:r w:rsidRPr="00604A76">
              <w:rPr>
                <w:rFonts w:cstheme="minorHAnsi"/>
                <w:b/>
                <w:bCs/>
                <w:color w:val="000000"/>
                <w:sz w:val="22"/>
              </w:rPr>
              <w:t>Nb de cas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FEF08" w14:textId="77777777" w:rsidR="004C52E0" w:rsidRPr="00604A76" w:rsidRDefault="004C52E0" w:rsidP="00577D77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2"/>
              </w:rPr>
            </w:pPr>
            <w:r w:rsidRPr="00604A76">
              <w:rPr>
                <w:rFonts w:cstheme="minorHAnsi"/>
                <w:b/>
                <w:bCs/>
                <w:color w:val="000000"/>
                <w:sz w:val="22"/>
              </w:rPr>
              <w:t>% de souches séquencées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D03C" w14:textId="77777777" w:rsidR="004C52E0" w:rsidRPr="00604A76" w:rsidRDefault="004C52E0" w:rsidP="00577D77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2"/>
              </w:rPr>
            </w:pPr>
            <w:r w:rsidRPr="00604A76">
              <w:rPr>
                <w:rFonts w:cstheme="minorHAnsi"/>
                <w:b/>
                <w:bCs/>
                <w:color w:val="000000"/>
                <w:sz w:val="22"/>
              </w:rPr>
              <w:t>Clades identifiés</w:t>
            </w:r>
          </w:p>
        </w:tc>
      </w:tr>
      <w:tr w:rsidR="004C52E0" w:rsidRPr="00604A76" w14:paraId="5A095254" w14:textId="77777777" w:rsidTr="00577D77">
        <w:trPr>
          <w:trHeight w:val="30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9D79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F882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CFE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16F9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B3 (100%)</w:t>
            </w:r>
          </w:p>
        </w:tc>
      </w:tr>
      <w:tr w:rsidR="004C52E0" w:rsidRPr="00604A76" w14:paraId="493191BF" w14:textId="77777777" w:rsidTr="00577D77">
        <w:trPr>
          <w:trHeight w:val="30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54BB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5934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26D6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100,0%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ED4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B3 (100%)</w:t>
            </w:r>
          </w:p>
        </w:tc>
      </w:tr>
      <w:tr w:rsidR="004C52E0" w:rsidRPr="00604A76" w14:paraId="1F5FC29C" w14:textId="77777777" w:rsidTr="00577D77">
        <w:trPr>
          <w:trHeight w:val="30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836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31B4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82B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96,5%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7B65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B3 (49%) - D1 (51%)</w:t>
            </w:r>
          </w:p>
        </w:tc>
      </w:tr>
      <w:tr w:rsidR="004C52E0" w:rsidRPr="00604A76" w14:paraId="645E2118" w14:textId="77777777" w:rsidTr="00577D77">
        <w:trPr>
          <w:trHeight w:val="30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AA3F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08FA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53B5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88,5%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2E62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B3 (57%) - D1 (43%)</w:t>
            </w:r>
          </w:p>
        </w:tc>
      </w:tr>
      <w:tr w:rsidR="004C52E0" w:rsidRPr="00604A76" w14:paraId="4539D382" w14:textId="77777777" w:rsidTr="00577D77">
        <w:trPr>
          <w:trHeight w:val="300"/>
          <w:jc w:val="center"/>
        </w:trPr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81A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3E1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DEB0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76,9%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D882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B3 (80%) - D1 (20%)</w:t>
            </w:r>
          </w:p>
        </w:tc>
      </w:tr>
      <w:tr w:rsidR="004C52E0" w:rsidRPr="00604A76" w14:paraId="6B5FC3B2" w14:textId="77777777" w:rsidTr="00577D77">
        <w:trPr>
          <w:trHeight w:val="300"/>
          <w:jc w:val="center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0BB9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AED2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171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9765F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85,4%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EEA4F" w14:textId="77777777" w:rsidR="004C52E0" w:rsidRPr="00604A76" w:rsidRDefault="004C52E0" w:rsidP="00577D77">
            <w:pPr>
              <w:spacing w:after="0" w:line="276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604A76">
              <w:rPr>
                <w:rFonts w:cstheme="minorHAnsi"/>
                <w:color w:val="000000"/>
                <w:sz w:val="22"/>
              </w:rPr>
              <w:t>B3 (100%)</w:t>
            </w:r>
          </w:p>
        </w:tc>
      </w:tr>
    </w:tbl>
    <w:p w14:paraId="53E36C30" w14:textId="77777777" w:rsidR="004C52E0" w:rsidRPr="00604A76" w:rsidRDefault="004C52E0" w:rsidP="004C52E0">
      <w:pPr>
        <w:adjustRightInd w:val="0"/>
        <w:spacing w:line="276" w:lineRule="auto"/>
        <w:rPr>
          <w:rFonts w:eastAsia="Calibri" w:cstheme="minorHAnsi"/>
          <w:sz w:val="22"/>
        </w:rPr>
      </w:pPr>
    </w:p>
    <w:p w14:paraId="56BA5643" w14:textId="77777777" w:rsidR="004C52E0" w:rsidRPr="00604A76" w:rsidRDefault="004C52E0" w:rsidP="004C52E0">
      <w:pPr>
        <w:spacing w:line="276" w:lineRule="auto"/>
        <w:ind w:firstLine="708"/>
        <w:rPr>
          <w:rFonts w:eastAsia="Calibri" w:cstheme="minorHAnsi"/>
          <w:sz w:val="22"/>
        </w:rPr>
      </w:pPr>
      <w:r w:rsidRPr="00604A76">
        <w:rPr>
          <w:rFonts w:eastAsia="Calibri" w:cstheme="minorHAnsi"/>
          <w:sz w:val="22"/>
        </w:rPr>
        <w:t xml:space="preserve">Au cours de la période 2016-2021, dans le cadre de la surveillance hospitalière des infections à EV, 80 à 92,6% des patients avec une infection à EV-D68 </w:t>
      </w:r>
      <w:r w:rsidR="00747E16">
        <w:rPr>
          <w:rFonts w:eastAsia="Calibri" w:cstheme="minorHAnsi"/>
          <w:sz w:val="22"/>
        </w:rPr>
        <w:t>avaient été</w:t>
      </w:r>
      <w:r w:rsidR="00747E16" w:rsidRPr="00604A76">
        <w:rPr>
          <w:rFonts w:eastAsia="Calibri" w:cstheme="minorHAnsi"/>
          <w:sz w:val="22"/>
        </w:rPr>
        <w:t xml:space="preserve"> </w:t>
      </w:r>
      <w:r w:rsidRPr="00604A76">
        <w:rPr>
          <w:rFonts w:eastAsia="Calibri" w:cstheme="minorHAnsi"/>
          <w:sz w:val="22"/>
        </w:rPr>
        <w:t>hospitalisés, dont 18,3 à 24,7% en réanimation.</w:t>
      </w:r>
    </w:p>
    <w:p w14:paraId="458C269A" w14:textId="15FDBA3F" w:rsidR="004C52E0" w:rsidRPr="00604A76" w:rsidRDefault="004C52E0" w:rsidP="004C52E0">
      <w:pPr>
        <w:spacing w:line="276" w:lineRule="auto"/>
        <w:ind w:firstLine="708"/>
        <w:rPr>
          <w:rFonts w:eastAsia="Calibri" w:cstheme="minorHAnsi"/>
          <w:sz w:val="22"/>
        </w:rPr>
      </w:pPr>
      <w:r w:rsidRPr="00604A76">
        <w:rPr>
          <w:rFonts w:eastAsia="Calibri" w:cstheme="minorHAnsi"/>
          <w:sz w:val="22"/>
        </w:rPr>
        <w:t>Une prédominance de tableaux respiratoires a été observée aussi bien chez l’enfant que chez l’adulte (84% des patients). En pédiatrie, les tableaux d’asthme et de bronchiolite étaient prépondérants comme décrit</w:t>
      </w:r>
      <w:r w:rsidR="00747E16">
        <w:rPr>
          <w:rFonts w:eastAsia="Calibri" w:cstheme="minorHAnsi"/>
          <w:sz w:val="22"/>
        </w:rPr>
        <w:t>s</w:t>
      </w:r>
      <w:r w:rsidRPr="00604A76">
        <w:rPr>
          <w:rFonts w:eastAsia="Calibri" w:cstheme="minorHAnsi"/>
          <w:sz w:val="22"/>
        </w:rPr>
        <w:t xml:space="preserve"> au cours de la surveillance renforcée mise en place en 2014 (</w:t>
      </w:r>
      <w:proofErr w:type="spellStart"/>
      <w:r w:rsidRPr="00604A76">
        <w:rPr>
          <w:rFonts w:eastAsia="Calibri" w:cstheme="minorHAnsi"/>
          <w:sz w:val="22"/>
        </w:rPr>
        <w:t>Schuffenecker</w:t>
      </w:r>
      <w:proofErr w:type="spellEnd"/>
      <w:r w:rsidRPr="00604A76">
        <w:rPr>
          <w:rFonts w:eastAsia="Calibri" w:cstheme="minorHAnsi"/>
          <w:sz w:val="22"/>
        </w:rPr>
        <w:t xml:space="preserve"> </w:t>
      </w:r>
      <w:r w:rsidRPr="00604A76">
        <w:rPr>
          <w:rFonts w:eastAsia="Calibri" w:cstheme="minorHAnsi"/>
          <w:i/>
          <w:sz w:val="22"/>
        </w:rPr>
        <w:t>et al.,</w:t>
      </w:r>
      <w:r w:rsidR="00B1645E">
        <w:rPr>
          <w:rFonts w:eastAsia="Calibri" w:cstheme="minorHAnsi"/>
          <w:sz w:val="22"/>
        </w:rPr>
        <w:t xml:space="preserve"> 2016</w:t>
      </w:r>
      <w:r w:rsidRPr="00604A76">
        <w:rPr>
          <w:rFonts w:eastAsia="Calibri" w:cstheme="minorHAnsi"/>
          <w:sz w:val="22"/>
        </w:rPr>
        <w:t xml:space="preserve">). Chez l’adulte, les tableaux prépondérants étaient des tableaux de pneumopathie </w:t>
      </w:r>
      <w:proofErr w:type="spellStart"/>
      <w:r w:rsidRPr="00604A76">
        <w:rPr>
          <w:rFonts w:eastAsia="Calibri" w:cstheme="minorHAnsi"/>
          <w:sz w:val="22"/>
        </w:rPr>
        <w:t>hypoxémiante</w:t>
      </w:r>
      <w:proofErr w:type="spellEnd"/>
      <w:r w:rsidRPr="00604A76">
        <w:rPr>
          <w:rFonts w:eastAsia="Calibri" w:cstheme="minorHAnsi"/>
          <w:sz w:val="22"/>
        </w:rPr>
        <w:t xml:space="preserve"> ou de bronchite (dont des exacerbations de broncho-pneumopathie obstructive (BPCO).</w:t>
      </w:r>
    </w:p>
    <w:p w14:paraId="2CB1A8C1" w14:textId="77777777" w:rsidR="004C52E0" w:rsidRPr="00604A76" w:rsidRDefault="004C52E0" w:rsidP="004C52E0">
      <w:pPr>
        <w:spacing w:line="276" w:lineRule="auto"/>
        <w:ind w:firstLine="708"/>
        <w:rPr>
          <w:rFonts w:eastAsia="Calibri" w:cstheme="minorHAnsi"/>
          <w:sz w:val="22"/>
        </w:rPr>
      </w:pPr>
      <w:r w:rsidRPr="00604A76">
        <w:rPr>
          <w:rFonts w:eastAsia="Calibri" w:cstheme="minorHAnsi"/>
          <w:sz w:val="22"/>
        </w:rPr>
        <w:t xml:space="preserve">Trente-trois </w:t>
      </w:r>
      <w:r w:rsidR="00747E16">
        <w:rPr>
          <w:rFonts w:eastAsia="Calibri" w:cstheme="minorHAnsi"/>
          <w:sz w:val="22"/>
        </w:rPr>
        <w:t>enfants</w:t>
      </w:r>
      <w:r w:rsidR="00747E16" w:rsidRPr="00604A76">
        <w:rPr>
          <w:rFonts w:eastAsia="Calibri" w:cstheme="minorHAnsi"/>
          <w:sz w:val="22"/>
        </w:rPr>
        <w:t xml:space="preserve"> </w:t>
      </w:r>
      <w:r w:rsidRPr="00604A76">
        <w:rPr>
          <w:rFonts w:eastAsia="Calibri" w:cstheme="minorHAnsi"/>
          <w:sz w:val="22"/>
        </w:rPr>
        <w:t xml:space="preserve">(8,4%) ont présenté des signes neurologiques. Une dizaine de patients ont présenté des atteintes neurologiques inflammatoires sévères avec déficit moteur sévère ou paralysie flasque d’un à 4 membres associé(e) à une détresse majeure ayant requis une ventilation invasive. Au moins 6 d’entre eux présentaient des séquelles motrices et une </w:t>
      </w:r>
      <w:proofErr w:type="spellStart"/>
      <w:r w:rsidRPr="00604A76">
        <w:rPr>
          <w:rFonts w:eastAsia="Calibri" w:cstheme="minorHAnsi"/>
          <w:sz w:val="22"/>
        </w:rPr>
        <w:t>dysautonomie</w:t>
      </w:r>
      <w:proofErr w:type="spellEnd"/>
      <w:r w:rsidRPr="00604A76">
        <w:rPr>
          <w:rFonts w:eastAsia="Calibri" w:cstheme="minorHAnsi"/>
          <w:sz w:val="22"/>
        </w:rPr>
        <w:t xml:space="preserve"> ventilatoire en sortie d’hospitalisation et à distance. Ces atteintes neuro-inflammatoires associées à l’EV-D68 sont très probablement sous-estimées du fait : 1/ de leur caractérisation récente; 2/de la difficulté d’interprétation </w:t>
      </w:r>
      <w:r w:rsidR="00823A27">
        <w:rPr>
          <w:rFonts w:eastAsia="Calibri" w:cstheme="minorHAnsi"/>
          <w:sz w:val="22"/>
        </w:rPr>
        <w:t xml:space="preserve">et du manque de sensibilité </w:t>
      </w:r>
      <w:r w:rsidRPr="00604A76">
        <w:rPr>
          <w:rFonts w:eastAsia="Calibri" w:cstheme="minorHAnsi"/>
          <w:sz w:val="22"/>
        </w:rPr>
        <w:t xml:space="preserve">des IRM ; 3/ </w:t>
      </w:r>
      <w:r w:rsidR="00747E16">
        <w:rPr>
          <w:rFonts w:eastAsia="Calibri" w:cstheme="minorHAnsi"/>
          <w:sz w:val="22"/>
        </w:rPr>
        <w:t xml:space="preserve">de l’absence de recherche des EV dans les </w:t>
      </w:r>
      <w:r w:rsidRPr="00604A76">
        <w:rPr>
          <w:rFonts w:eastAsia="Calibri" w:cstheme="minorHAnsi"/>
          <w:sz w:val="22"/>
        </w:rPr>
        <w:t xml:space="preserve">prélèvements utiles au diagnostic (notamment respiratoires) </w:t>
      </w:r>
      <w:r w:rsidR="00747E16">
        <w:rPr>
          <w:rFonts w:eastAsia="Calibri" w:cstheme="minorHAnsi"/>
          <w:sz w:val="22"/>
        </w:rPr>
        <w:t>précocement dans l’histoire de la maladie et de l’absence de génotypage des</w:t>
      </w:r>
      <w:r w:rsidRPr="00604A76">
        <w:rPr>
          <w:rFonts w:eastAsia="Calibri" w:cstheme="minorHAnsi"/>
          <w:sz w:val="22"/>
        </w:rPr>
        <w:t xml:space="preserve"> échantillons respiratoires positifs en EV/rhinovirus. </w:t>
      </w:r>
    </w:p>
    <w:p w14:paraId="36A3C08B" w14:textId="77777777" w:rsidR="00747E16" w:rsidRDefault="00747E16" w:rsidP="004C52E0">
      <w:pPr>
        <w:rPr>
          <w:b/>
          <w:color w:val="0000FF"/>
          <w:sz w:val="22"/>
          <w:u w:val="single"/>
        </w:rPr>
      </w:pPr>
    </w:p>
    <w:p w14:paraId="431E5276" w14:textId="77777777" w:rsidR="004C52E0" w:rsidRPr="00935F3A" w:rsidRDefault="00747E16" w:rsidP="004C52E0">
      <w:pPr>
        <w:rPr>
          <w:b/>
          <w:color w:val="0000FF"/>
          <w:sz w:val="22"/>
          <w:u w:val="single"/>
        </w:rPr>
      </w:pPr>
      <w:r w:rsidRPr="00935F3A">
        <w:rPr>
          <w:b/>
          <w:color w:val="0000FF"/>
          <w:sz w:val="22"/>
          <w:u w:val="single"/>
        </w:rPr>
        <w:t xml:space="preserve">Situation épidémiologique actuelle - </w:t>
      </w:r>
      <w:r w:rsidR="004C52E0" w:rsidRPr="00935F3A">
        <w:rPr>
          <w:b/>
          <w:color w:val="0000FF"/>
          <w:sz w:val="22"/>
          <w:u w:val="single"/>
        </w:rPr>
        <w:t xml:space="preserve"> 2022 : le retour ?</w:t>
      </w:r>
    </w:p>
    <w:p w14:paraId="7D4E5B05" w14:textId="41DED010" w:rsidR="00D46CA6" w:rsidRPr="005803C4" w:rsidRDefault="009307F9" w:rsidP="006467B1">
      <w:pPr>
        <w:ind w:firstLine="708"/>
        <w:rPr>
          <w:sz w:val="22"/>
        </w:rPr>
      </w:pPr>
      <w:r w:rsidRPr="00604A76">
        <w:rPr>
          <w:sz w:val="22"/>
        </w:rPr>
        <w:t xml:space="preserve">En France, </w:t>
      </w:r>
      <w:r w:rsidR="00723020" w:rsidRPr="00604A76">
        <w:rPr>
          <w:sz w:val="22"/>
        </w:rPr>
        <w:t>depuis l’alerte lancée par les USA, un screening</w:t>
      </w:r>
      <w:r w:rsidR="004D4711" w:rsidRPr="00604A76">
        <w:rPr>
          <w:sz w:val="22"/>
        </w:rPr>
        <w:t xml:space="preserve"> renforcé a été mis en place au</w:t>
      </w:r>
      <w:r w:rsidR="00723020" w:rsidRPr="00604A76">
        <w:rPr>
          <w:sz w:val="22"/>
        </w:rPr>
        <w:t xml:space="preserve"> CHU </w:t>
      </w:r>
      <w:proofErr w:type="gramStart"/>
      <w:r w:rsidR="00723020" w:rsidRPr="00604A76">
        <w:rPr>
          <w:sz w:val="22"/>
        </w:rPr>
        <w:t>de</w:t>
      </w:r>
      <w:proofErr w:type="gramEnd"/>
      <w:r w:rsidR="00723020" w:rsidRPr="00604A76">
        <w:rPr>
          <w:sz w:val="22"/>
        </w:rPr>
        <w:t xml:space="preserve"> Lyon (screening de tous les échantillons respiratoires prélevés chez les enfants de moins de 10 ans) et de Clermont-Ferrand</w:t>
      </w:r>
      <w:r w:rsidR="004D4711" w:rsidRPr="00604A76">
        <w:rPr>
          <w:sz w:val="22"/>
        </w:rPr>
        <w:t xml:space="preserve"> (typage de tous les échantillons détectés positifs en EV/rhino) en vue d’une évaluation initiale du niveau de circulation de l’EV-D68. Au total, </w:t>
      </w:r>
      <w:r w:rsidR="00823A27">
        <w:rPr>
          <w:sz w:val="22"/>
        </w:rPr>
        <w:t>30</w:t>
      </w:r>
      <w:r w:rsidR="00823A27" w:rsidRPr="00604A76">
        <w:rPr>
          <w:sz w:val="22"/>
        </w:rPr>
        <w:t xml:space="preserve"> </w:t>
      </w:r>
      <w:r w:rsidRPr="00604A76">
        <w:rPr>
          <w:sz w:val="22"/>
        </w:rPr>
        <w:t xml:space="preserve">cas </w:t>
      </w:r>
      <w:r w:rsidR="00723020" w:rsidRPr="00604A76">
        <w:rPr>
          <w:sz w:val="22"/>
        </w:rPr>
        <w:t xml:space="preserve">ont été détectés depuis le 19 Août (CHU Lyon : </w:t>
      </w:r>
      <w:r w:rsidR="00823A27" w:rsidRPr="00604A76">
        <w:rPr>
          <w:sz w:val="22"/>
        </w:rPr>
        <w:t>2</w:t>
      </w:r>
      <w:r w:rsidR="00823A27">
        <w:rPr>
          <w:sz w:val="22"/>
        </w:rPr>
        <w:t>4</w:t>
      </w:r>
      <w:r w:rsidR="00823A27" w:rsidRPr="00604A76">
        <w:rPr>
          <w:sz w:val="22"/>
        </w:rPr>
        <w:t xml:space="preserve"> </w:t>
      </w:r>
      <w:r w:rsidRPr="00604A76">
        <w:rPr>
          <w:sz w:val="22"/>
        </w:rPr>
        <w:t xml:space="preserve">cas ; </w:t>
      </w:r>
      <w:r w:rsidR="00823A27">
        <w:rPr>
          <w:sz w:val="22"/>
        </w:rPr>
        <w:t xml:space="preserve">CHU Nantes : 3 cas ; </w:t>
      </w:r>
      <w:r w:rsidRPr="00604A76">
        <w:rPr>
          <w:sz w:val="22"/>
        </w:rPr>
        <w:t>CHU Clermont-Ferrand : 2 cas ; CHU Rennes : 1 cas</w:t>
      </w:r>
      <w:r w:rsidR="00D46CA6" w:rsidRPr="00604A76">
        <w:rPr>
          <w:sz w:val="22"/>
        </w:rPr>
        <w:t xml:space="preserve"> ; </w:t>
      </w:r>
      <w:r w:rsidR="00D95CAC" w:rsidRPr="00604A76">
        <w:rPr>
          <w:sz w:val="22"/>
        </w:rPr>
        <w:t>2</w:t>
      </w:r>
      <w:r w:rsidR="00D95CAC">
        <w:rPr>
          <w:sz w:val="22"/>
        </w:rPr>
        <w:t>9</w:t>
      </w:r>
      <w:r w:rsidR="00D95CAC" w:rsidRPr="00604A76">
        <w:rPr>
          <w:sz w:val="22"/>
        </w:rPr>
        <w:t xml:space="preserve"> </w:t>
      </w:r>
      <w:r w:rsidR="00D46CA6" w:rsidRPr="00604A76">
        <w:rPr>
          <w:sz w:val="22"/>
        </w:rPr>
        <w:t xml:space="preserve">cas pédiatriques dont </w:t>
      </w:r>
      <w:r w:rsidR="00D95CAC" w:rsidRPr="00604A76">
        <w:rPr>
          <w:sz w:val="22"/>
        </w:rPr>
        <w:t>1</w:t>
      </w:r>
      <w:r w:rsidR="00D95CAC">
        <w:rPr>
          <w:sz w:val="22"/>
        </w:rPr>
        <w:t>8</w:t>
      </w:r>
      <w:r w:rsidR="00D95CAC" w:rsidRPr="00604A76">
        <w:rPr>
          <w:sz w:val="22"/>
        </w:rPr>
        <w:t xml:space="preserve"> </w:t>
      </w:r>
      <w:r w:rsidR="00D46CA6" w:rsidRPr="00604A76">
        <w:rPr>
          <w:sz w:val="22"/>
        </w:rPr>
        <w:t>chez des enfants de moins de 5 ans</w:t>
      </w:r>
      <w:r w:rsidRPr="00604A76">
        <w:rPr>
          <w:sz w:val="22"/>
        </w:rPr>
        <w:t>)</w:t>
      </w:r>
      <w:r w:rsidR="004D4711" w:rsidRPr="00604A76">
        <w:rPr>
          <w:sz w:val="22"/>
        </w:rPr>
        <w:t xml:space="preserve"> avec </w:t>
      </w:r>
      <w:r w:rsidR="00D95CAC" w:rsidRPr="00D95CAC">
        <w:rPr>
          <w:sz w:val="22"/>
        </w:rPr>
        <w:t>6,1 à 6,7%</w:t>
      </w:r>
      <w:r w:rsidR="00D95CAC">
        <w:rPr>
          <w:sz w:val="22"/>
        </w:rPr>
        <w:t xml:space="preserve"> d’échantillons positifs en </w:t>
      </w:r>
      <w:r w:rsidR="00D95CAC">
        <w:rPr>
          <w:sz w:val="22"/>
        </w:rPr>
        <w:lastRenderedPageBreak/>
        <w:t>EV-D68</w:t>
      </w:r>
      <w:r w:rsidRPr="00604A76">
        <w:rPr>
          <w:sz w:val="22"/>
        </w:rPr>
        <w:t xml:space="preserve"> depuis la semaine 37</w:t>
      </w:r>
      <w:r w:rsidR="004D4711" w:rsidRPr="00604A76">
        <w:rPr>
          <w:sz w:val="22"/>
        </w:rPr>
        <w:t xml:space="preserve"> au CHU de Lyon</w:t>
      </w:r>
      <w:r w:rsidR="00D95CAC">
        <w:rPr>
          <w:sz w:val="22"/>
        </w:rPr>
        <w:t xml:space="preserve"> (Figure I ; </w:t>
      </w:r>
      <w:r w:rsidR="00D95CAC" w:rsidRPr="005803C4">
        <w:rPr>
          <w:sz w:val="22"/>
        </w:rPr>
        <w:t>698 échantillons respiratoires testés)</w:t>
      </w:r>
      <w:r w:rsidRPr="005803C4">
        <w:rPr>
          <w:sz w:val="22"/>
        </w:rPr>
        <w:t xml:space="preserve">. </w:t>
      </w:r>
      <w:r w:rsidR="00723020" w:rsidRPr="005803C4">
        <w:rPr>
          <w:sz w:val="22"/>
        </w:rPr>
        <w:t xml:space="preserve">Sur </w:t>
      </w:r>
      <w:r w:rsidR="00F806C8" w:rsidRPr="005803C4">
        <w:rPr>
          <w:sz w:val="22"/>
        </w:rPr>
        <w:t xml:space="preserve">28 </w:t>
      </w:r>
      <w:r w:rsidR="00723020" w:rsidRPr="005803C4">
        <w:rPr>
          <w:sz w:val="22"/>
        </w:rPr>
        <w:t>cas documentés, l</w:t>
      </w:r>
      <w:r w:rsidR="00DF43A7" w:rsidRPr="005803C4">
        <w:rPr>
          <w:sz w:val="22"/>
        </w:rPr>
        <w:t xml:space="preserve">es tableaux respiratoires </w:t>
      </w:r>
      <w:r w:rsidR="00935F3A" w:rsidRPr="005803C4">
        <w:rPr>
          <w:sz w:val="22"/>
        </w:rPr>
        <w:t xml:space="preserve">étaient </w:t>
      </w:r>
      <w:r w:rsidR="00DF43A7" w:rsidRPr="005803C4">
        <w:rPr>
          <w:sz w:val="22"/>
        </w:rPr>
        <w:t>prédominants</w:t>
      </w:r>
      <w:r w:rsidR="001B2085" w:rsidRPr="005803C4">
        <w:rPr>
          <w:sz w:val="22"/>
        </w:rPr>
        <w:t xml:space="preserve"> (n=</w:t>
      </w:r>
      <w:r w:rsidR="00F806C8" w:rsidRPr="005803C4">
        <w:rPr>
          <w:sz w:val="22"/>
        </w:rPr>
        <w:t>24</w:t>
      </w:r>
      <w:r w:rsidR="00935F3A" w:rsidRPr="005803C4">
        <w:rPr>
          <w:sz w:val="22"/>
        </w:rPr>
        <w:t xml:space="preserve">, soit </w:t>
      </w:r>
      <w:r w:rsidR="00F806C8" w:rsidRPr="005803C4">
        <w:rPr>
          <w:sz w:val="22"/>
        </w:rPr>
        <w:t>86</w:t>
      </w:r>
      <w:r w:rsidR="00935F3A" w:rsidRPr="005803C4">
        <w:rPr>
          <w:sz w:val="22"/>
        </w:rPr>
        <w:t xml:space="preserve">%, </w:t>
      </w:r>
      <w:r w:rsidR="00723020" w:rsidRPr="005803C4">
        <w:rPr>
          <w:sz w:val="22"/>
        </w:rPr>
        <w:t xml:space="preserve">dont </w:t>
      </w:r>
      <w:r w:rsidR="00F806C8" w:rsidRPr="005803C4">
        <w:rPr>
          <w:sz w:val="22"/>
        </w:rPr>
        <w:t xml:space="preserve">13 </w:t>
      </w:r>
      <w:r w:rsidR="00723020" w:rsidRPr="005803C4">
        <w:rPr>
          <w:sz w:val="22"/>
        </w:rPr>
        <w:t>tableaux d’asthme</w:t>
      </w:r>
      <w:r w:rsidR="00F806C8" w:rsidRPr="005803C4">
        <w:rPr>
          <w:sz w:val="22"/>
        </w:rPr>
        <w:t xml:space="preserve"> ou de dyspnée sifflante</w:t>
      </w:r>
      <w:r w:rsidR="00723020" w:rsidRPr="005803C4">
        <w:rPr>
          <w:sz w:val="22"/>
        </w:rPr>
        <w:t xml:space="preserve">, </w:t>
      </w:r>
      <w:r w:rsidR="00F806C8" w:rsidRPr="005803C4">
        <w:rPr>
          <w:sz w:val="22"/>
        </w:rPr>
        <w:t xml:space="preserve">5 </w:t>
      </w:r>
      <w:r w:rsidR="00723020" w:rsidRPr="005803C4">
        <w:rPr>
          <w:sz w:val="22"/>
        </w:rPr>
        <w:t>pneumopathie</w:t>
      </w:r>
      <w:r w:rsidR="001B2085" w:rsidRPr="005803C4">
        <w:rPr>
          <w:sz w:val="22"/>
        </w:rPr>
        <w:t xml:space="preserve">s </w:t>
      </w:r>
      <w:r w:rsidR="00D46CA6" w:rsidRPr="005803C4">
        <w:rPr>
          <w:sz w:val="22"/>
        </w:rPr>
        <w:t xml:space="preserve">(dont </w:t>
      </w:r>
      <w:r w:rsidR="00F806C8" w:rsidRPr="005803C4">
        <w:rPr>
          <w:sz w:val="22"/>
        </w:rPr>
        <w:t xml:space="preserve">3 </w:t>
      </w:r>
      <w:proofErr w:type="spellStart"/>
      <w:r w:rsidR="001B2085" w:rsidRPr="005803C4">
        <w:rPr>
          <w:sz w:val="22"/>
        </w:rPr>
        <w:t>oxygéno</w:t>
      </w:r>
      <w:proofErr w:type="spellEnd"/>
      <w:r w:rsidR="001B2085" w:rsidRPr="005803C4">
        <w:rPr>
          <w:sz w:val="22"/>
        </w:rPr>
        <w:t>-requérante</w:t>
      </w:r>
      <w:r w:rsidR="00D46CA6" w:rsidRPr="005803C4">
        <w:rPr>
          <w:sz w:val="22"/>
        </w:rPr>
        <w:t xml:space="preserve">s), </w:t>
      </w:r>
      <w:r w:rsidR="00F806C8" w:rsidRPr="005803C4">
        <w:rPr>
          <w:sz w:val="22"/>
        </w:rPr>
        <w:t xml:space="preserve">4 tableaux ORL hauts, </w:t>
      </w:r>
      <w:r w:rsidR="00D46CA6" w:rsidRPr="005803C4">
        <w:rPr>
          <w:sz w:val="22"/>
        </w:rPr>
        <w:t>une bronchiolite</w:t>
      </w:r>
      <w:r w:rsidR="00723020" w:rsidRPr="005803C4">
        <w:rPr>
          <w:sz w:val="22"/>
        </w:rPr>
        <w:t xml:space="preserve"> et une détresse respiratoire grave </w:t>
      </w:r>
      <w:r w:rsidR="00D46CA6" w:rsidRPr="005803C4">
        <w:rPr>
          <w:sz w:val="22"/>
        </w:rPr>
        <w:t xml:space="preserve">chez une jeune femme de 32 ans </w:t>
      </w:r>
      <w:r w:rsidR="00723020" w:rsidRPr="005803C4">
        <w:rPr>
          <w:sz w:val="22"/>
        </w:rPr>
        <w:t>ayant requis une mise sous ECMO)</w:t>
      </w:r>
      <w:r w:rsidR="00935F3A" w:rsidRPr="005803C4">
        <w:rPr>
          <w:sz w:val="22"/>
        </w:rPr>
        <w:t>.</w:t>
      </w:r>
      <w:r w:rsidR="00DF43A7" w:rsidRPr="005803C4">
        <w:rPr>
          <w:sz w:val="22"/>
        </w:rPr>
        <w:t xml:space="preserve"> </w:t>
      </w:r>
      <w:r w:rsidR="00F806C8" w:rsidRPr="005803C4">
        <w:rPr>
          <w:sz w:val="22"/>
        </w:rPr>
        <w:t xml:space="preserve">Deux patients ont présenté des signes neurologiques (un tableau de convulsions </w:t>
      </w:r>
      <w:proofErr w:type="spellStart"/>
      <w:r w:rsidR="00F806C8" w:rsidRPr="005803C4">
        <w:rPr>
          <w:sz w:val="22"/>
        </w:rPr>
        <w:t>tonico</w:t>
      </w:r>
      <w:proofErr w:type="spellEnd"/>
      <w:r w:rsidR="00F806C8" w:rsidRPr="005803C4">
        <w:rPr>
          <w:sz w:val="22"/>
        </w:rPr>
        <w:t>-cloniques généralisées fébriles et un cas d’épilepsie partielle débutante déclenchée par l’infection à EV-D68</w:t>
      </w:r>
      <w:r w:rsidR="000179F4" w:rsidRPr="005803C4">
        <w:rPr>
          <w:sz w:val="22"/>
        </w:rPr>
        <w:t>)</w:t>
      </w:r>
      <w:r w:rsidR="00F806C8" w:rsidRPr="005803C4">
        <w:rPr>
          <w:sz w:val="22"/>
        </w:rPr>
        <w:t>.</w:t>
      </w:r>
      <w:r w:rsidR="00B1645E">
        <w:rPr>
          <w:sz w:val="22"/>
        </w:rPr>
        <w:t xml:space="preserve"> </w:t>
      </w:r>
      <w:r w:rsidR="000179F4" w:rsidRPr="005803C4">
        <w:rPr>
          <w:sz w:val="22"/>
        </w:rPr>
        <w:t>Sept (23</w:t>
      </w:r>
      <w:r w:rsidR="001B2085" w:rsidRPr="005803C4">
        <w:rPr>
          <w:sz w:val="22"/>
        </w:rPr>
        <w:t>%</w:t>
      </w:r>
      <w:r w:rsidR="000179F4" w:rsidRPr="005803C4">
        <w:rPr>
          <w:sz w:val="22"/>
        </w:rPr>
        <w:t>)</w:t>
      </w:r>
      <w:r w:rsidR="001B2085" w:rsidRPr="005803C4">
        <w:rPr>
          <w:sz w:val="22"/>
        </w:rPr>
        <w:t xml:space="preserve"> patients </w:t>
      </w:r>
      <w:r w:rsidR="00D46CA6" w:rsidRPr="005803C4">
        <w:rPr>
          <w:sz w:val="22"/>
        </w:rPr>
        <w:t xml:space="preserve">ont été </w:t>
      </w:r>
      <w:r w:rsidR="001B2085" w:rsidRPr="005803C4">
        <w:rPr>
          <w:sz w:val="22"/>
        </w:rPr>
        <w:t>hospitalisés en réanimation.</w:t>
      </w:r>
      <w:r w:rsidR="00DF43A7" w:rsidRPr="005803C4">
        <w:rPr>
          <w:sz w:val="22"/>
        </w:rPr>
        <w:t xml:space="preserve"> </w:t>
      </w:r>
      <w:r w:rsidR="00D46CA6" w:rsidRPr="005803C4">
        <w:rPr>
          <w:sz w:val="22"/>
        </w:rPr>
        <w:t>D’après les</w:t>
      </w:r>
      <w:r w:rsidR="00DF43A7" w:rsidRPr="005803C4">
        <w:rPr>
          <w:sz w:val="22"/>
        </w:rPr>
        <w:t xml:space="preserve"> séquences </w:t>
      </w:r>
      <w:r w:rsidR="00D46CA6" w:rsidRPr="005803C4">
        <w:rPr>
          <w:sz w:val="22"/>
        </w:rPr>
        <w:t>disponibles</w:t>
      </w:r>
      <w:r w:rsidR="00935F3A" w:rsidRPr="005803C4">
        <w:rPr>
          <w:sz w:val="22"/>
        </w:rPr>
        <w:t xml:space="preserve"> (dont 2 génomes complets)</w:t>
      </w:r>
      <w:r w:rsidR="00D46CA6" w:rsidRPr="005803C4">
        <w:rPr>
          <w:sz w:val="22"/>
        </w:rPr>
        <w:t xml:space="preserve">, tous les EV-D68 détectés </w:t>
      </w:r>
      <w:r w:rsidR="000179F4" w:rsidRPr="005803C4">
        <w:rPr>
          <w:sz w:val="22"/>
        </w:rPr>
        <w:t xml:space="preserve">(n=21) </w:t>
      </w:r>
      <w:r w:rsidR="00D46CA6" w:rsidRPr="005803C4">
        <w:rPr>
          <w:sz w:val="22"/>
        </w:rPr>
        <w:t>appartiennent a</w:t>
      </w:r>
      <w:r w:rsidR="00DF43A7" w:rsidRPr="005803C4">
        <w:rPr>
          <w:sz w:val="22"/>
        </w:rPr>
        <w:t xml:space="preserve">u clade B3 </w:t>
      </w:r>
      <w:r w:rsidR="00723020" w:rsidRPr="005803C4">
        <w:rPr>
          <w:sz w:val="22"/>
        </w:rPr>
        <w:t xml:space="preserve">et </w:t>
      </w:r>
      <w:r w:rsidR="00DF43A7" w:rsidRPr="005803C4">
        <w:rPr>
          <w:sz w:val="22"/>
        </w:rPr>
        <w:t xml:space="preserve">montrent </w:t>
      </w:r>
      <w:r w:rsidR="00D46CA6" w:rsidRPr="005803C4">
        <w:rPr>
          <w:sz w:val="22"/>
        </w:rPr>
        <w:t>98-</w:t>
      </w:r>
      <w:r w:rsidR="00DF43A7" w:rsidRPr="005803C4">
        <w:rPr>
          <w:sz w:val="22"/>
        </w:rPr>
        <w:t xml:space="preserve">99% d’homologie avec les souches d’EV-D68 détectées à Clermont-Ferrand et Lyon en 2021. </w:t>
      </w:r>
    </w:p>
    <w:p w14:paraId="383E3773" w14:textId="07BC1339" w:rsidR="005803C4" w:rsidRPr="00CF2DA6" w:rsidRDefault="00D46CA6" w:rsidP="005803C4">
      <w:pPr>
        <w:ind w:firstLine="708"/>
        <w:rPr>
          <w:sz w:val="22"/>
        </w:rPr>
      </w:pPr>
      <w:r w:rsidRPr="005803C4">
        <w:rPr>
          <w:sz w:val="22"/>
        </w:rPr>
        <w:t xml:space="preserve">Il est </w:t>
      </w:r>
      <w:r w:rsidR="000C7083" w:rsidRPr="005803C4">
        <w:rPr>
          <w:sz w:val="22"/>
        </w:rPr>
        <w:t>encore tôt à ce stade (les pics de circulation sont le plus souvent observés entre les semaines 44 et 48) pour prédire l’évolution de la circulation de l’EV-D68 en France Métropolitaine</w:t>
      </w:r>
      <w:r w:rsidR="0000507A" w:rsidRPr="005803C4">
        <w:rPr>
          <w:sz w:val="22"/>
        </w:rPr>
        <w:t>, d’autant qu’elle est certainement sous-estimée.</w:t>
      </w:r>
      <w:r w:rsidR="000C7083" w:rsidRPr="005803C4">
        <w:rPr>
          <w:sz w:val="22"/>
        </w:rPr>
        <w:t xml:space="preserve"> </w:t>
      </w:r>
      <w:r w:rsidR="005803C4">
        <w:rPr>
          <w:sz w:val="22"/>
        </w:rPr>
        <w:t>Toutefois, nous pensons qu’il serait intéressant</w:t>
      </w:r>
      <w:r w:rsidR="00CF2DA6">
        <w:rPr>
          <w:sz w:val="22"/>
        </w:rPr>
        <w:t xml:space="preserve"> </w:t>
      </w:r>
      <w:r w:rsidR="00CF2DA6" w:rsidRPr="00CF2DA6">
        <w:rPr>
          <w:sz w:val="22"/>
        </w:rPr>
        <w:t>de mettre en place un génotypage plus exhaustif des échantillons respiratoires positifs en EV/rhinovirus pour tous les patients hospitalisés en soins continus</w:t>
      </w:r>
      <w:r w:rsidR="00870A13">
        <w:rPr>
          <w:sz w:val="22"/>
        </w:rPr>
        <w:t xml:space="preserve"> ou réanimation, ainsi que ceux des enfants présentant des atteintes neurologiques (service de neuro-pédiatrie notamment) </w:t>
      </w:r>
      <w:r w:rsidR="00CF2DA6" w:rsidRPr="00CF2DA6">
        <w:rPr>
          <w:sz w:val="22"/>
        </w:rPr>
        <w:t>sur une période ciblée (S37</w:t>
      </w:r>
      <w:r w:rsidR="005803C4" w:rsidRPr="00CF2DA6">
        <w:rPr>
          <w:sz w:val="22"/>
        </w:rPr>
        <w:t xml:space="preserve"> à S52)</w:t>
      </w:r>
      <w:r w:rsidR="00CF2DA6" w:rsidRPr="00CF2DA6">
        <w:rPr>
          <w:sz w:val="22"/>
        </w:rPr>
        <w:t xml:space="preserve"> afin d’évaluer l’impact de l’EV-D68 et d’éventuels autres EV dans des tableaux respiratoires ou neurologiques sévères</w:t>
      </w:r>
      <w:r w:rsidR="005803C4" w:rsidRPr="00CF2DA6">
        <w:rPr>
          <w:sz w:val="22"/>
        </w:rPr>
        <w:t xml:space="preserve">. </w:t>
      </w:r>
    </w:p>
    <w:p w14:paraId="4206CD12" w14:textId="03B3D945" w:rsidR="0013628A" w:rsidRPr="00604A76" w:rsidRDefault="0013628A" w:rsidP="00CF2DA6">
      <w:pPr>
        <w:ind w:firstLine="708"/>
        <w:rPr>
          <w:sz w:val="22"/>
        </w:rPr>
      </w:pPr>
      <w:r w:rsidRPr="005803C4">
        <w:rPr>
          <w:sz w:val="22"/>
        </w:rPr>
        <w:t xml:space="preserve">En Europe, </w:t>
      </w:r>
      <w:r w:rsidR="005803C4">
        <w:rPr>
          <w:sz w:val="22"/>
        </w:rPr>
        <w:t>8 pays rapportent à ce jour des cas d’infections à EV-D68 (Danemark, Espagne, Finlande, France, Italie, Pays-Bas, Pays de Galles, Suède) sans ascension majeure des cas. Six cas de myélite aiguë flasque ont été rapportés (Autriche (n=2) ; France (n=2) ; Italie (n=1) ; Pays-Bas (n=1)). Deux cas sont associés à une infection à EV-D68 et un cas à une infection à EV-71 c1.</w:t>
      </w:r>
    </w:p>
    <w:p w14:paraId="5B1586E0" w14:textId="77777777" w:rsidR="00870A13" w:rsidRPr="00D95CAC" w:rsidRDefault="00870A13" w:rsidP="00870A13">
      <w:pPr>
        <w:rPr>
          <w:sz w:val="22"/>
        </w:rPr>
      </w:pPr>
      <w:r w:rsidRPr="00D21D08">
        <w:rPr>
          <w:b/>
          <w:sz w:val="22"/>
        </w:rPr>
        <w:t xml:space="preserve">Tableau 1 – </w:t>
      </w:r>
      <w:r w:rsidRPr="00D95CAC">
        <w:rPr>
          <w:sz w:val="22"/>
        </w:rPr>
        <w:t>Nb de cas d’infections à EV-D68 détectés par le RSE, 2022, semaines 31-40</w:t>
      </w:r>
    </w:p>
    <w:tbl>
      <w:tblPr>
        <w:tblW w:w="9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70A13" w:rsidRPr="00870A13" w14:paraId="7E21B0E5" w14:textId="77777777" w:rsidTr="00870A1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833" w14:textId="77777777" w:rsidR="00870A13" w:rsidRPr="00870A13" w:rsidRDefault="00870A13" w:rsidP="0087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Semaine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05F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02B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B6D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B38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5EC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984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B11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B45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A5B7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S39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A8B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 xml:space="preserve">S40 </w:t>
            </w:r>
          </w:p>
        </w:tc>
      </w:tr>
      <w:tr w:rsidR="00870A13" w:rsidRPr="00870A13" w14:paraId="632E8B63" w14:textId="77777777" w:rsidTr="00870A1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F8D" w14:textId="77777777" w:rsidR="00870A13" w:rsidRPr="00870A13" w:rsidRDefault="00870A13" w:rsidP="0087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>Nb échantillons positifs en PCR EV-D68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8EC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397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0C5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FCA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107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FAC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311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4E4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DC5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838" w14:textId="77777777" w:rsidR="00870A13" w:rsidRPr="00870A13" w:rsidRDefault="00870A13" w:rsidP="00870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70A1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5</w:t>
            </w:r>
          </w:p>
        </w:tc>
      </w:tr>
    </w:tbl>
    <w:p w14:paraId="2606BBC3" w14:textId="77777777" w:rsidR="00D95CAC" w:rsidRDefault="00D95CAC" w:rsidP="00D95CAC">
      <w:pPr>
        <w:rPr>
          <w:sz w:val="22"/>
        </w:rPr>
      </w:pPr>
    </w:p>
    <w:p w14:paraId="0FEC27F7" w14:textId="5C09FA46" w:rsidR="00D95CAC" w:rsidRDefault="00D95CAC" w:rsidP="00870A13">
      <w:pPr>
        <w:jc w:val="center"/>
        <w:rPr>
          <w:sz w:val="22"/>
        </w:rPr>
      </w:pPr>
      <w:r>
        <w:rPr>
          <w:noProof/>
          <w:lang w:eastAsia="fr-FR"/>
        </w:rPr>
        <w:drawing>
          <wp:inline distT="0" distB="0" distL="0" distR="0" wp14:anchorId="3B452248" wp14:editId="66E38AFE">
            <wp:extent cx="5191125" cy="2686050"/>
            <wp:effectExtent l="0" t="0" r="9525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1C5E3B4" w14:textId="77777777" w:rsidR="00935F3A" w:rsidRPr="00604A76" w:rsidRDefault="00935F3A" w:rsidP="004C52E0">
      <w:pPr>
        <w:rPr>
          <w:sz w:val="22"/>
        </w:rPr>
      </w:pPr>
      <w:r w:rsidRPr="006467B1">
        <w:rPr>
          <w:b/>
          <w:sz w:val="22"/>
        </w:rPr>
        <w:t>Figure 1</w:t>
      </w:r>
      <w:r>
        <w:rPr>
          <w:sz w:val="22"/>
        </w:rPr>
        <w:t xml:space="preserve">. </w:t>
      </w:r>
      <w:r w:rsidR="00CA69D6">
        <w:rPr>
          <w:sz w:val="22"/>
        </w:rPr>
        <w:t xml:space="preserve">Distribution hebdomadaire de la proportion d’échantillons respiratoires positifs à EV/Rhinovirus et à EV-D68, Semaines 31 à </w:t>
      </w:r>
      <w:r w:rsidR="00D95CAC">
        <w:rPr>
          <w:sz w:val="22"/>
        </w:rPr>
        <w:t>40</w:t>
      </w:r>
      <w:r w:rsidR="00CA69D6">
        <w:rPr>
          <w:sz w:val="22"/>
        </w:rPr>
        <w:t>, CHU de Lyon</w:t>
      </w:r>
    </w:p>
    <w:p w14:paraId="2E3F8F74" w14:textId="77777777" w:rsidR="00D3634F" w:rsidRPr="006467B1" w:rsidRDefault="00D3634F" w:rsidP="004C52E0">
      <w:pPr>
        <w:rPr>
          <w:b/>
          <w:color w:val="0000FF"/>
          <w:sz w:val="22"/>
          <w:u w:val="single"/>
        </w:rPr>
      </w:pPr>
      <w:r w:rsidRPr="006467B1">
        <w:rPr>
          <w:b/>
          <w:color w:val="0000FF"/>
          <w:sz w:val="22"/>
          <w:u w:val="single"/>
        </w:rPr>
        <w:lastRenderedPageBreak/>
        <w:t>Cas particuliers des atteintes neurologiques sévères à EV-D68</w:t>
      </w:r>
    </w:p>
    <w:p w14:paraId="576F126E" w14:textId="77777777" w:rsidR="00D3634F" w:rsidRDefault="009B21C6" w:rsidP="00E106EC">
      <w:pPr>
        <w:adjustRightInd w:val="0"/>
        <w:spacing w:line="276" w:lineRule="auto"/>
        <w:ind w:firstLine="360"/>
        <w:rPr>
          <w:rFonts w:ascii="Calibri" w:hAnsi="Calibri" w:cs="Calibri"/>
          <w:color w:val="000000"/>
        </w:rPr>
      </w:pPr>
      <w:r>
        <w:rPr>
          <w:rFonts w:eastAsia="Calibri" w:cstheme="minorHAnsi"/>
          <w:sz w:val="22"/>
        </w:rPr>
        <w:t xml:space="preserve">Suite à la </w:t>
      </w:r>
      <w:proofErr w:type="spellStart"/>
      <w:r>
        <w:rPr>
          <w:rFonts w:eastAsia="Calibri" w:cstheme="minorHAnsi"/>
          <w:sz w:val="22"/>
        </w:rPr>
        <w:t>ré-émergence</w:t>
      </w:r>
      <w:proofErr w:type="spellEnd"/>
      <w:r>
        <w:rPr>
          <w:rFonts w:eastAsia="Calibri" w:cstheme="minorHAnsi"/>
          <w:sz w:val="22"/>
        </w:rPr>
        <w:t xml:space="preserve"> de l’EV-D68 en 2014 aux Etats-Unis, u</w:t>
      </w:r>
      <w:r w:rsidRPr="00604A76">
        <w:rPr>
          <w:rFonts w:eastAsia="Calibri" w:cstheme="minorHAnsi"/>
          <w:sz w:val="22"/>
        </w:rPr>
        <w:t xml:space="preserve">ne entité </w:t>
      </w:r>
      <w:proofErr w:type="spellStart"/>
      <w:r w:rsidRPr="00604A76">
        <w:rPr>
          <w:rFonts w:eastAsia="Calibri" w:cstheme="minorHAnsi"/>
          <w:sz w:val="22"/>
        </w:rPr>
        <w:t>clinico</w:t>
      </w:r>
      <w:proofErr w:type="spellEnd"/>
      <w:r w:rsidRPr="00604A76">
        <w:rPr>
          <w:rFonts w:eastAsia="Calibri" w:cstheme="minorHAnsi"/>
          <w:sz w:val="22"/>
        </w:rPr>
        <w:t>-radiologique proche de la poliomyélite a été caractérisée, associant déficit moteur et/ou paralysie d’un ou plusieurs membres (affectant plus fréquemment les membres supérieurs) et lésions de myélite à l’IRM (affectant principalement la substance grise centrale au niveau cervical et/ou thoracique). La myélite peut être associée à une atteinte des centres bulbaires et/ou des nerfs crâniens (lien site Web vers point spécifique sur infections EV-D68 du 15/11/2018).</w:t>
      </w:r>
      <w:r>
        <w:rPr>
          <w:rFonts w:ascii="Calibri" w:hAnsi="Calibri" w:cs="Calibri"/>
          <w:color w:val="000000"/>
        </w:rPr>
        <w:t xml:space="preserve"> </w:t>
      </w:r>
      <w:r w:rsidR="00D3634F">
        <w:rPr>
          <w:rFonts w:ascii="Calibri" w:hAnsi="Calibri" w:cs="Calibri"/>
          <w:color w:val="000000"/>
        </w:rPr>
        <w:t xml:space="preserve">Une infection respiratoire haute ou basse et/ou des signes digestifs sont fréquemment retrouvés dans l’histoire de la maladie. </w:t>
      </w:r>
    </w:p>
    <w:p w14:paraId="5B22F621" w14:textId="77777777" w:rsidR="00D3634F" w:rsidRDefault="00D3634F" w:rsidP="009529E3">
      <w:pPr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liquide cérébrospinal est très souvent négatif pour la recherche d’EV et il est nécessaire de collecter des échantillons respiratoires et de selles</w:t>
      </w:r>
      <w:r w:rsidR="002E1C2F">
        <w:rPr>
          <w:rFonts w:ascii="Calibri" w:hAnsi="Calibri" w:cs="Calibri"/>
          <w:color w:val="000000"/>
        </w:rPr>
        <w:t xml:space="preserve"> le plus précocement possible (dans l’idéal en même temps que la ponction lombaire)</w:t>
      </w:r>
      <w:r>
        <w:rPr>
          <w:rFonts w:ascii="Calibri" w:hAnsi="Calibri" w:cs="Calibri"/>
          <w:color w:val="000000"/>
        </w:rPr>
        <w:t xml:space="preserve"> pour éliminer une infection à EV. En </w:t>
      </w:r>
      <w:r w:rsidR="00C21504">
        <w:rPr>
          <w:rFonts w:ascii="Calibri" w:hAnsi="Calibri" w:cs="Calibri"/>
          <w:color w:val="000000"/>
        </w:rPr>
        <w:t xml:space="preserve">cas </w:t>
      </w:r>
      <w:r>
        <w:rPr>
          <w:rFonts w:ascii="Calibri" w:hAnsi="Calibri" w:cs="Calibri"/>
          <w:color w:val="000000"/>
        </w:rPr>
        <w:t xml:space="preserve">de positivité, le génotypage est recommandé pour </w:t>
      </w:r>
      <w:r w:rsidR="002E1C2F">
        <w:rPr>
          <w:rFonts w:ascii="Calibri" w:hAnsi="Calibri" w:cs="Calibri"/>
          <w:color w:val="000000"/>
        </w:rPr>
        <w:t>distinguer les poliovirus des EV non poliomyélitiques et identifier le type d’EV responsable.</w:t>
      </w:r>
    </w:p>
    <w:p w14:paraId="6749269A" w14:textId="77777777" w:rsidR="002E1C2F" w:rsidRPr="00604A76" w:rsidRDefault="002E1C2F" w:rsidP="006467B1">
      <w:pPr>
        <w:rPr>
          <w:sz w:val="22"/>
        </w:rPr>
      </w:pPr>
    </w:p>
    <w:p w14:paraId="7C5AE13F" w14:textId="77777777" w:rsidR="004D4711" w:rsidRPr="000179F4" w:rsidRDefault="00CA69D6" w:rsidP="00723020">
      <w:pPr>
        <w:rPr>
          <w:rFonts w:ascii="Calibri" w:hAnsi="Calibri" w:cs="Calibri"/>
          <w:b/>
          <w:sz w:val="22"/>
          <w:lang w:val="en-US"/>
        </w:rPr>
      </w:pPr>
      <w:proofErr w:type="spellStart"/>
      <w:r w:rsidRPr="000179F4">
        <w:rPr>
          <w:rFonts w:ascii="Calibri" w:hAnsi="Calibri" w:cs="Calibri"/>
          <w:b/>
          <w:sz w:val="22"/>
          <w:lang w:val="en-US"/>
        </w:rPr>
        <w:t>Références</w:t>
      </w:r>
      <w:proofErr w:type="spellEnd"/>
    </w:p>
    <w:p w14:paraId="5F33342C" w14:textId="12A02173" w:rsidR="004B7E0C" w:rsidRPr="00B1645E" w:rsidRDefault="00604A76" w:rsidP="006467B1">
      <w:pPr>
        <w:shd w:val="clear" w:color="auto" w:fill="FFFFFF"/>
        <w:rPr>
          <w:rFonts w:ascii="Calibri" w:eastAsia="Times New Roman" w:hAnsi="Calibri" w:cs="Calibri"/>
          <w:sz w:val="22"/>
          <w:shd w:val="clear" w:color="auto" w:fill="FFFFFF"/>
          <w:lang w:val="en-US" w:eastAsia="fr-FR"/>
        </w:rPr>
      </w:pPr>
      <w:r w:rsidRPr="00B1645E">
        <w:rPr>
          <w:rFonts w:ascii="Calibri" w:hAnsi="Calibri" w:cs="Calibri"/>
          <w:sz w:val="22"/>
          <w:lang w:val="en-US"/>
        </w:rPr>
        <w:t xml:space="preserve">Benschop et al. Re-emergence of enterovirus D68 in Europe after easing the COVID-19 lockdown, September 2021. </w:t>
      </w:r>
      <w:r w:rsidRPr="00B1645E">
        <w:rPr>
          <w:rFonts w:ascii="Calibri" w:eastAsia="Times New Roman" w:hAnsi="Calibri" w:cs="Calibri"/>
          <w:sz w:val="22"/>
          <w:lang w:val="en-US" w:eastAsia="fr-FR"/>
        </w:rPr>
        <w:t xml:space="preserve">Euro </w:t>
      </w:r>
      <w:proofErr w:type="spellStart"/>
      <w:r w:rsidRPr="00B1645E">
        <w:rPr>
          <w:rFonts w:ascii="Calibri" w:eastAsia="Times New Roman" w:hAnsi="Calibri" w:cs="Calibri"/>
          <w:sz w:val="22"/>
          <w:lang w:val="en-US" w:eastAsia="fr-FR"/>
        </w:rPr>
        <w:t>Surveill</w:t>
      </w:r>
      <w:proofErr w:type="spellEnd"/>
      <w:r w:rsidRPr="00B1645E">
        <w:rPr>
          <w:rFonts w:ascii="Calibri" w:eastAsia="Times New Roman" w:hAnsi="Calibri" w:cs="Calibri"/>
          <w:sz w:val="22"/>
          <w:lang w:val="en-US" w:eastAsia="fr-FR"/>
        </w:rPr>
        <w:t xml:space="preserve"> 2021 Nov</w:t>
      </w:r>
      <w:proofErr w:type="gramStart"/>
      <w:r w:rsidRPr="00B1645E">
        <w:rPr>
          <w:rFonts w:ascii="Calibri" w:eastAsia="Times New Roman" w:hAnsi="Calibri" w:cs="Calibri"/>
          <w:sz w:val="22"/>
          <w:lang w:val="en-US" w:eastAsia="fr-FR"/>
        </w:rPr>
        <w:t>;26</w:t>
      </w:r>
      <w:proofErr w:type="gramEnd"/>
      <w:r w:rsidRPr="00B1645E">
        <w:rPr>
          <w:rFonts w:ascii="Calibri" w:eastAsia="Times New Roman" w:hAnsi="Calibri" w:cs="Calibri"/>
          <w:sz w:val="22"/>
          <w:lang w:val="en-US" w:eastAsia="fr-FR"/>
        </w:rPr>
        <w:t xml:space="preserve">(45):2100998. </w:t>
      </w:r>
      <w:proofErr w:type="spellStart"/>
      <w:proofErr w:type="gramStart"/>
      <w:r w:rsidRPr="00B1645E">
        <w:rPr>
          <w:rFonts w:ascii="Calibri" w:eastAsia="Times New Roman" w:hAnsi="Calibri" w:cs="Calibri"/>
          <w:sz w:val="22"/>
          <w:shd w:val="clear" w:color="auto" w:fill="FFFFFF"/>
          <w:lang w:val="en-US" w:eastAsia="fr-FR"/>
        </w:rPr>
        <w:t>doi</w:t>
      </w:r>
      <w:proofErr w:type="spellEnd"/>
      <w:proofErr w:type="gramEnd"/>
      <w:r w:rsidRPr="00B1645E">
        <w:rPr>
          <w:rFonts w:ascii="Calibri" w:eastAsia="Times New Roman" w:hAnsi="Calibri" w:cs="Calibri"/>
          <w:sz w:val="22"/>
          <w:shd w:val="clear" w:color="auto" w:fill="FFFFFF"/>
          <w:lang w:val="en-US" w:eastAsia="fr-FR"/>
        </w:rPr>
        <w:t>: 10.2807/1560-7917.ES.2021.26.45.2100998</w:t>
      </w:r>
    </w:p>
    <w:p w14:paraId="5FEE6F9C" w14:textId="77777777" w:rsidR="000179F4" w:rsidRPr="00B1645E" w:rsidRDefault="000179F4" w:rsidP="000179F4">
      <w:pPr>
        <w:rPr>
          <w:rFonts w:ascii="Calibri" w:hAnsi="Calibri" w:cs="Calibri"/>
          <w:sz w:val="22"/>
          <w:lang w:val="en-US"/>
        </w:rPr>
      </w:pPr>
      <w:proofErr w:type="spellStart"/>
      <w:r w:rsidRPr="00B1645E">
        <w:rPr>
          <w:rFonts w:ascii="Calibri" w:hAnsi="Calibri" w:cs="Calibri"/>
          <w:sz w:val="22"/>
          <w:lang w:val="en-US"/>
        </w:rPr>
        <w:t>Hodcroft</w:t>
      </w:r>
      <w:proofErr w:type="spellEnd"/>
      <w:r w:rsidRPr="00B1645E">
        <w:rPr>
          <w:rFonts w:ascii="Calibri" w:hAnsi="Calibri" w:cs="Calibri"/>
          <w:sz w:val="22"/>
          <w:lang w:val="en-US"/>
        </w:rPr>
        <w:t xml:space="preserve"> et al. Evolution, geographic spreading, and demographic distribution of EV-D68. </w:t>
      </w:r>
      <w:proofErr w:type="spellStart"/>
      <w:r w:rsidRPr="00B1645E">
        <w:rPr>
          <w:rFonts w:ascii="Calibri" w:hAnsi="Calibri" w:cs="Calibri"/>
          <w:sz w:val="22"/>
          <w:lang w:val="en-US"/>
        </w:rPr>
        <w:t>Plos</w:t>
      </w:r>
      <w:proofErr w:type="spellEnd"/>
      <w:r w:rsidRPr="00B1645E">
        <w:rPr>
          <w:rFonts w:ascii="Calibri" w:hAnsi="Calibri" w:cs="Calibri"/>
          <w:sz w:val="22"/>
          <w:lang w:val="en-US"/>
        </w:rPr>
        <w:t xml:space="preserve"> Pathogens 2022 18(5):e1010515</w:t>
      </w:r>
    </w:p>
    <w:p w14:paraId="4A6553A6" w14:textId="77777777" w:rsidR="004C52E0" w:rsidRPr="00B1645E" w:rsidRDefault="004B7E0C" w:rsidP="00723020">
      <w:pPr>
        <w:rPr>
          <w:rFonts w:ascii="Calibri" w:hAnsi="Calibri" w:cs="Calibri"/>
          <w:sz w:val="22"/>
        </w:rPr>
      </w:pPr>
      <w:r w:rsidRPr="00B1645E">
        <w:rPr>
          <w:rFonts w:ascii="Calibri" w:hAnsi="Calibri" w:cs="Calibri"/>
          <w:sz w:val="22"/>
          <w:lang w:val="en-US"/>
        </w:rPr>
        <w:t>M</w:t>
      </w:r>
      <w:r w:rsidR="00704437" w:rsidRPr="00B1645E">
        <w:rPr>
          <w:rFonts w:ascii="Calibri" w:hAnsi="Calibri" w:cs="Calibri"/>
          <w:sz w:val="22"/>
          <w:lang w:val="en-US"/>
        </w:rPr>
        <w:t xml:space="preserve">a et al. Increase in acute respiratory illnesses among children and adolescents associated with rhinoviruses and enteroviruses, including enterovirus D68_ USA, July-Sept 2022. </w:t>
      </w:r>
      <w:r w:rsidRPr="00B1645E">
        <w:rPr>
          <w:rFonts w:ascii="Calibri" w:hAnsi="Calibri" w:cs="Calibri"/>
          <w:sz w:val="22"/>
        </w:rPr>
        <w:t>M</w:t>
      </w:r>
      <w:r w:rsidR="00704437" w:rsidRPr="00B1645E">
        <w:rPr>
          <w:rFonts w:ascii="Calibri" w:hAnsi="Calibri" w:cs="Calibri"/>
          <w:sz w:val="22"/>
        </w:rPr>
        <w:t>M</w:t>
      </w:r>
      <w:r w:rsidRPr="00B1645E">
        <w:rPr>
          <w:rFonts w:ascii="Calibri" w:hAnsi="Calibri" w:cs="Calibri"/>
          <w:sz w:val="22"/>
        </w:rPr>
        <w:t>WR</w:t>
      </w:r>
      <w:r w:rsidR="004D4711" w:rsidRPr="00B1645E">
        <w:rPr>
          <w:rFonts w:ascii="Calibri" w:hAnsi="Calibri" w:cs="Calibri"/>
          <w:sz w:val="22"/>
        </w:rPr>
        <w:t xml:space="preserve"> </w:t>
      </w:r>
      <w:r w:rsidR="00704437" w:rsidRPr="00B1645E">
        <w:rPr>
          <w:rFonts w:ascii="Calibri" w:hAnsi="Calibri" w:cs="Calibri"/>
          <w:sz w:val="22"/>
        </w:rPr>
        <w:t>2022 71(40) :1265-70</w:t>
      </w:r>
      <w:r w:rsidR="00723020" w:rsidRPr="00B1645E">
        <w:rPr>
          <w:rFonts w:ascii="Calibri" w:hAnsi="Calibri" w:cs="Calibri"/>
          <w:sz w:val="22"/>
        </w:rPr>
        <w:t xml:space="preserve"> </w:t>
      </w:r>
      <w:bookmarkStart w:id="0" w:name="_GoBack"/>
      <w:bookmarkEnd w:id="0"/>
    </w:p>
    <w:p w14:paraId="096A679E" w14:textId="725B9832" w:rsidR="009529E3" w:rsidRPr="00B1645E" w:rsidRDefault="00CA69D6" w:rsidP="00B1645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en-US"/>
        </w:rPr>
      </w:pPr>
      <w:proofErr w:type="spellStart"/>
      <w:r w:rsidRPr="00B1645E">
        <w:rPr>
          <w:rFonts w:ascii="Calibri" w:hAnsi="Calibri" w:cs="Calibri"/>
          <w:sz w:val="22"/>
          <w:lang w:val="en-US"/>
        </w:rPr>
        <w:t>Poelman</w:t>
      </w:r>
      <w:proofErr w:type="spellEnd"/>
      <w:r w:rsidRPr="00B1645E">
        <w:rPr>
          <w:rFonts w:ascii="Calibri" w:hAnsi="Calibri" w:cs="Calibri"/>
          <w:sz w:val="22"/>
          <w:lang w:val="en-US"/>
        </w:rPr>
        <w:t xml:space="preserve"> et al</w:t>
      </w:r>
      <w:r w:rsidR="009529E3" w:rsidRPr="00B1645E">
        <w:rPr>
          <w:rFonts w:ascii="Calibri" w:hAnsi="Calibri" w:cs="Calibri"/>
          <w:sz w:val="22"/>
          <w:lang w:val="en-US"/>
        </w:rPr>
        <w:t xml:space="preserve">. </w:t>
      </w:r>
      <w:hyperlink r:id="rId7" w:history="1">
        <w:r w:rsidR="009529E3" w:rsidRPr="00B1645E">
          <w:rPr>
            <w:rStyle w:val="Lienhypertexte"/>
            <w:rFonts w:ascii="Calibri" w:hAnsi="Calibri" w:cs="Calibri"/>
            <w:color w:val="auto"/>
            <w:sz w:val="22"/>
            <w:u w:val="none"/>
            <w:lang w:val="en-US"/>
          </w:rPr>
          <w:t>European surveillance for enterovirus D68 during the emerging North-American outbreak in 2014.</w:t>
        </w:r>
      </w:hyperlink>
      <w:r w:rsidR="009529E3" w:rsidRPr="00B1645E">
        <w:rPr>
          <w:rFonts w:ascii="Calibri" w:hAnsi="Calibri" w:cs="Calibri"/>
          <w:sz w:val="22"/>
          <w:lang w:val="en-US"/>
        </w:rPr>
        <w:t xml:space="preserve"> </w:t>
      </w:r>
      <w:r w:rsidR="009529E3" w:rsidRPr="00B1645E">
        <w:rPr>
          <w:rStyle w:val="jrnl"/>
          <w:rFonts w:ascii="Calibri" w:hAnsi="Calibri" w:cs="Calibri"/>
          <w:sz w:val="22"/>
          <w:lang w:val="en-US"/>
        </w:rPr>
        <w:t>Journal of Clinical Virology,</w:t>
      </w:r>
      <w:r w:rsidR="009529E3" w:rsidRPr="00B1645E">
        <w:rPr>
          <w:rFonts w:ascii="Calibri" w:hAnsi="Calibri" w:cs="Calibri"/>
          <w:sz w:val="22"/>
          <w:lang w:val="en-US"/>
        </w:rPr>
        <w:t xml:space="preserve"> 2015 Oct</w:t>
      </w:r>
      <w:proofErr w:type="gramStart"/>
      <w:r w:rsidR="009529E3" w:rsidRPr="00B1645E">
        <w:rPr>
          <w:rFonts w:ascii="Calibri" w:hAnsi="Calibri" w:cs="Calibri"/>
          <w:sz w:val="22"/>
          <w:lang w:val="en-US"/>
        </w:rPr>
        <w:t>;71:1</w:t>
      </w:r>
      <w:proofErr w:type="gramEnd"/>
      <w:r w:rsidR="009529E3" w:rsidRPr="00B1645E">
        <w:rPr>
          <w:rFonts w:ascii="Calibri" w:hAnsi="Calibri" w:cs="Calibri"/>
          <w:sz w:val="22"/>
          <w:lang w:val="en-US"/>
        </w:rPr>
        <w:t xml:space="preserve">-9. </w:t>
      </w:r>
      <w:proofErr w:type="spellStart"/>
      <w:proofErr w:type="gramStart"/>
      <w:r w:rsidR="009529E3" w:rsidRPr="00B1645E">
        <w:rPr>
          <w:rFonts w:ascii="Calibri" w:hAnsi="Calibri" w:cs="Calibri"/>
          <w:sz w:val="22"/>
          <w:lang w:val="en-US"/>
        </w:rPr>
        <w:t>doi</w:t>
      </w:r>
      <w:proofErr w:type="spellEnd"/>
      <w:proofErr w:type="gramEnd"/>
      <w:r w:rsidR="009529E3" w:rsidRPr="00B1645E">
        <w:rPr>
          <w:rFonts w:ascii="Calibri" w:hAnsi="Calibri" w:cs="Calibri"/>
          <w:sz w:val="22"/>
          <w:lang w:val="en-US"/>
        </w:rPr>
        <w:t xml:space="preserve">: 10.1016/j.jcv.2015.07.296. </w:t>
      </w:r>
      <w:proofErr w:type="spellStart"/>
      <w:r w:rsidR="009529E3" w:rsidRPr="00B1645E">
        <w:rPr>
          <w:rFonts w:ascii="Calibri" w:hAnsi="Calibri" w:cs="Calibri"/>
          <w:sz w:val="22"/>
          <w:lang w:val="en-US"/>
        </w:rPr>
        <w:t>Epub</w:t>
      </w:r>
      <w:proofErr w:type="spellEnd"/>
      <w:r w:rsidR="009529E3" w:rsidRPr="00B1645E">
        <w:rPr>
          <w:rFonts w:ascii="Calibri" w:hAnsi="Calibri" w:cs="Calibri"/>
          <w:sz w:val="22"/>
          <w:lang w:val="en-US"/>
        </w:rPr>
        <w:t xml:space="preserve"> 2015 Jul 26.</w:t>
      </w:r>
    </w:p>
    <w:p w14:paraId="584BC878" w14:textId="1F26956F" w:rsidR="00CF2DA6" w:rsidRPr="00B1645E" w:rsidRDefault="00CA69D6" w:rsidP="00B1645E">
      <w:pPr>
        <w:pStyle w:val="Titre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</w:rPr>
      </w:pPr>
      <w:proofErr w:type="spellStart"/>
      <w:r w:rsidRPr="00B1645E">
        <w:rPr>
          <w:rFonts w:ascii="Calibri" w:hAnsi="Calibri" w:cs="Calibri"/>
          <w:sz w:val="22"/>
          <w:lang w:val="en-US"/>
        </w:rPr>
        <w:t>Schuffenecker</w:t>
      </w:r>
      <w:proofErr w:type="spellEnd"/>
      <w:r w:rsidRPr="00B1645E">
        <w:rPr>
          <w:rFonts w:ascii="Calibri" w:hAnsi="Calibri" w:cs="Calibri"/>
          <w:sz w:val="22"/>
          <w:lang w:val="en-US"/>
        </w:rPr>
        <w:t xml:space="preserve"> et al.</w:t>
      </w:r>
      <w:r w:rsidR="00CF2DA6" w:rsidRPr="00B1645E">
        <w:rPr>
          <w:rFonts w:ascii="Calibri" w:hAnsi="Calibri" w:cs="Calibri"/>
          <w:sz w:val="22"/>
          <w:lang w:val="en-US"/>
        </w:rPr>
        <w:t xml:space="preserve"> </w:t>
      </w:r>
      <w:hyperlink r:id="rId8" w:history="1">
        <w:r w:rsidR="00CF2DA6" w:rsidRPr="00B1645E">
          <w:rPr>
            <w:rStyle w:val="Lienhypertext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Epidemiological and clinical characteristics of patients infected with enterovirus D68, France, July to December 2014.</w:t>
        </w:r>
      </w:hyperlink>
      <w:r w:rsidR="00CF2DA6" w:rsidRPr="00B1645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F2DA6" w:rsidRPr="00B1645E">
        <w:rPr>
          <w:rStyle w:val="jrnl"/>
          <w:rFonts w:ascii="Calibri" w:hAnsi="Calibri" w:cs="Calibri"/>
          <w:sz w:val="22"/>
          <w:szCs w:val="22"/>
        </w:rPr>
        <w:t xml:space="preserve">Euro </w:t>
      </w:r>
      <w:proofErr w:type="spellStart"/>
      <w:r w:rsidR="00CF2DA6" w:rsidRPr="00B1645E">
        <w:rPr>
          <w:rStyle w:val="jrnl"/>
          <w:rFonts w:ascii="Calibri" w:hAnsi="Calibri" w:cs="Calibri"/>
          <w:sz w:val="22"/>
          <w:szCs w:val="22"/>
        </w:rPr>
        <w:t>Surveill</w:t>
      </w:r>
      <w:proofErr w:type="spellEnd"/>
      <w:r w:rsidR="00CF2DA6" w:rsidRPr="00B1645E">
        <w:rPr>
          <w:rFonts w:ascii="Calibri" w:hAnsi="Calibri" w:cs="Calibri"/>
          <w:sz w:val="22"/>
          <w:szCs w:val="22"/>
        </w:rPr>
        <w:t xml:space="preserve">. 2016 May 12;21(19). </w:t>
      </w:r>
      <w:proofErr w:type="spellStart"/>
      <w:proofErr w:type="gramStart"/>
      <w:r w:rsidR="00CF2DA6" w:rsidRPr="00B1645E">
        <w:rPr>
          <w:rFonts w:ascii="Calibri" w:hAnsi="Calibri" w:cs="Calibri"/>
          <w:sz w:val="22"/>
          <w:szCs w:val="22"/>
        </w:rPr>
        <w:t>doi</w:t>
      </w:r>
      <w:proofErr w:type="spellEnd"/>
      <w:proofErr w:type="gramEnd"/>
      <w:r w:rsidR="00CF2DA6" w:rsidRPr="00B1645E">
        <w:rPr>
          <w:rFonts w:ascii="Calibri" w:hAnsi="Calibri" w:cs="Calibri"/>
          <w:sz w:val="22"/>
          <w:szCs w:val="22"/>
        </w:rPr>
        <w:t>: 10.2807/1560-7917.ES.2016.21.19.30226.</w:t>
      </w:r>
      <w:r w:rsidR="0026059C" w:rsidRPr="00B1645E">
        <w:rPr>
          <w:rFonts w:ascii="Calibri" w:hAnsi="Calibri" w:cs="Calibri"/>
          <w:sz w:val="22"/>
          <w:szCs w:val="22"/>
        </w:rPr>
        <w:t xml:space="preserve"> </w:t>
      </w:r>
      <w:r w:rsidR="00CF2DA6" w:rsidRPr="00B1645E">
        <w:rPr>
          <w:rFonts w:ascii="Calibri" w:hAnsi="Calibri" w:cs="Calibri"/>
          <w:sz w:val="22"/>
          <w:szCs w:val="22"/>
        </w:rPr>
        <w:t>PMID: 27195770</w:t>
      </w:r>
    </w:p>
    <w:p w14:paraId="12C6D192" w14:textId="77777777" w:rsidR="00B1645E" w:rsidRPr="00B1645E" w:rsidRDefault="00B1645E" w:rsidP="00B1645E">
      <w:pPr>
        <w:spacing w:line="240" w:lineRule="auto"/>
        <w:rPr>
          <w:sz w:val="2"/>
          <w:szCs w:val="2"/>
        </w:rPr>
      </w:pPr>
    </w:p>
    <w:p w14:paraId="3678AAD8" w14:textId="20FC86A9" w:rsidR="00C21504" w:rsidRPr="00B1645E" w:rsidRDefault="00B1645E" w:rsidP="00B1645E">
      <w:pPr>
        <w:spacing w:line="240" w:lineRule="auto"/>
        <w:rPr>
          <w:rFonts w:ascii="Calibri" w:hAnsi="Calibri" w:cs="Calibri"/>
          <w:sz w:val="22"/>
        </w:rPr>
      </w:pPr>
      <w:hyperlink r:id="rId9" w:history="1">
        <w:r w:rsidR="00C21504" w:rsidRPr="00B1645E">
          <w:rPr>
            <w:rStyle w:val="Lienhypertexte"/>
            <w:rFonts w:ascii="Calibri" w:hAnsi="Calibri" w:cs="Calibri"/>
            <w:color w:val="auto"/>
            <w:sz w:val="22"/>
            <w:u w:val="none"/>
            <w:lang w:val="en-US"/>
          </w:rPr>
          <w:t>https://acuteflaccidmyelitis.org/</w:t>
        </w:r>
      </w:hyperlink>
    </w:p>
    <w:sectPr w:rsidR="00C21504" w:rsidRPr="00B1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A10"/>
      </v:shape>
    </w:pict>
  </w:numPicBullet>
  <w:abstractNum w:abstractNumId="0" w15:restartNumberingAfterBreak="0">
    <w:nsid w:val="2B826619"/>
    <w:multiLevelType w:val="multilevel"/>
    <w:tmpl w:val="2DC2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311C4"/>
    <w:multiLevelType w:val="hybridMultilevel"/>
    <w:tmpl w:val="A3D21B3C"/>
    <w:lvl w:ilvl="0" w:tplc="21E6BB14">
      <w:start w:val="1"/>
      <w:numFmt w:val="bullet"/>
      <w:pStyle w:val="Titre4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E0"/>
    <w:rsid w:val="0000507A"/>
    <w:rsid w:val="00005DDB"/>
    <w:rsid w:val="000179F4"/>
    <w:rsid w:val="00021F79"/>
    <w:rsid w:val="000C7083"/>
    <w:rsid w:val="000F161C"/>
    <w:rsid w:val="0013628A"/>
    <w:rsid w:val="001B2085"/>
    <w:rsid w:val="001C0B2C"/>
    <w:rsid w:val="00216D2C"/>
    <w:rsid w:val="00246E06"/>
    <w:rsid w:val="0026059C"/>
    <w:rsid w:val="002E1C2F"/>
    <w:rsid w:val="004B7E0C"/>
    <w:rsid w:val="004C52E0"/>
    <w:rsid w:val="004D4711"/>
    <w:rsid w:val="00551854"/>
    <w:rsid w:val="00553BD6"/>
    <w:rsid w:val="005803C4"/>
    <w:rsid w:val="005A39EF"/>
    <w:rsid w:val="005C75B0"/>
    <w:rsid w:val="00604A76"/>
    <w:rsid w:val="006467B1"/>
    <w:rsid w:val="00704437"/>
    <w:rsid w:val="00723020"/>
    <w:rsid w:val="00747E16"/>
    <w:rsid w:val="00823A27"/>
    <w:rsid w:val="00870A13"/>
    <w:rsid w:val="008975E7"/>
    <w:rsid w:val="009307F9"/>
    <w:rsid w:val="00935F3A"/>
    <w:rsid w:val="009529E3"/>
    <w:rsid w:val="009B21C6"/>
    <w:rsid w:val="009B614B"/>
    <w:rsid w:val="00A90E74"/>
    <w:rsid w:val="00B1645E"/>
    <w:rsid w:val="00B661FA"/>
    <w:rsid w:val="00C21504"/>
    <w:rsid w:val="00C74E1B"/>
    <w:rsid w:val="00CA69D6"/>
    <w:rsid w:val="00CF2DA6"/>
    <w:rsid w:val="00D34FE4"/>
    <w:rsid w:val="00D3634F"/>
    <w:rsid w:val="00D46CA6"/>
    <w:rsid w:val="00D46D3F"/>
    <w:rsid w:val="00D95CAC"/>
    <w:rsid w:val="00DF43A7"/>
    <w:rsid w:val="00E106EC"/>
    <w:rsid w:val="00EB20B5"/>
    <w:rsid w:val="00F34FA6"/>
    <w:rsid w:val="00F57119"/>
    <w:rsid w:val="00F806C8"/>
    <w:rsid w:val="00F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CE0563"/>
  <w15:chartTrackingRefBased/>
  <w15:docId w15:val="{322A8CAC-4E5C-4BCC-95CE-1AA66795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2E0"/>
    <w:pPr>
      <w:jc w:val="both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52E0"/>
    <w:pPr>
      <w:keepNext/>
      <w:keepLines/>
      <w:numPr>
        <w:numId w:val="1"/>
      </w:numPr>
      <w:spacing w:before="40" w:after="0"/>
      <w:ind w:left="360"/>
      <w:outlineLvl w:val="3"/>
    </w:pPr>
    <w:rPr>
      <w:rFonts w:asciiTheme="majorHAnsi" w:eastAsiaTheme="majorEastAsia" w:hAnsiTheme="majorHAnsi" w:cstheme="majorBidi"/>
      <w:b/>
      <w:iCs/>
      <w:color w:val="0000FF"/>
      <w:sz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52E0"/>
    <w:rPr>
      <w:rFonts w:asciiTheme="majorHAnsi" w:eastAsiaTheme="majorEastAsia" w:hAnsiTheme="majorHAnsi" w:cstheme="majorBidi"/>
      <w:b/>
      <w:iCs/>
      <w:color w:val="0000FF"/>
      <w:sz w:val="26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B6A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6A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6A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6A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6A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A20"/>
    <w:rPr>
      <w:rFonts w:ascii="Segoe UI" w:hAnsi="Segoe UI" w:cs="Segoe UI"/>
      <w:sz w:val="18"/>
      <w:szCs w:val="18"/>
    </w:rPr>
  </w:style>
  <w:style w:type="character" w:customStyle="1" w:styleId="period">
    <w:name w:val="period"/>
    <w:basedOn w:val="Policepardfaut"/>
    <w:rsid w:val="00604A76"/>
  </w:style>
  <w:style w:type="character" w:customStyle="1" w:styleId="cit">
    <w:name w:val="cit"/>
    <w:basedOn w:val="Policepardfaut"/>
    <w:rsid w:val="00604A76"/>
  </w:style>
  <w:style w:type="character" w:customStyle="1" w:styleId="citation-doi">
    <w:name w:val="citation-doi"/>
    <w:basedOn w:val="Policepardfaut"/>
    <w:rsid w:val="00604A76"/>
  </w:style>
  <w:style w:type="character" w:customStyle="1" w:styleId="docdata">
    <w:name w:val="docdata"/>
    <w:aliases w:val="docy,v5,1812,bqiaagaaetedaaagngmaaanhbqaabvufaaaaaaaaaaaaaaaaaaaaaaaaaaaaaaaaaaaaaaaaaaaaaaaaaaaaaaaaaaaaaaaaaaaaaaaaaaaaaaaaaaaaaaaaaaaaaaaaaaaaaaaaaaaaaaaaaaaaaaaaaaaaaaaaaaaaaaaaaaaaaaaaaaaaaaaaaaaaaaaaaaaaaaaaaaaaaaaaaaaaaaaaaaaaaaaaaaaaaaaa"/>
    <w:basedOn w:val="Policepardfaut"/>
    <w:rsid w:val="00D3634F"/>
  </w:style>
  <w:style w:type="character" w:styleId="Lienhypertexte">
    <w:name w:val="Hyperlink"/>
    <w:basedOn w:val="Policepardfaut"/>
    <w:uiPriority w:val="99"/>
    <w:unhideWhenUsed/>
    <w:rsid w:val="00C21504"/>
    <w:rPr>
      <w:color w:val="0563C1" w:themeColor="hyperlink"/>
      <w:u w:val="single"/>
    </w:rPr>
  </w:style>
  <w:style w:type="character" w:customStyle="1" w:styleId="jrnl">
    <w:name w:val="jrnl"/>
    <w:basedOn w:val="Policepardfaut"/>
    <w:rsid w:val="009529E3"/>
  </w:style>
  <w:style w:type="paragraph" w:customStyle="1" w:styleId="Titre1">
    <w:name w:val="Titre1"/>
    <w:basedOn w:val="Normal"/>
    <w:rsid w:val="009529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71957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6364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acuteflaccidmyeliti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uteflaccidmyelitis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HU-LYON.FR\BUREAUTIQUE\GHN\CR_IAI_CBN\UF_CNR_EV\Diagnostic-surveillance\plvts%20humains\2022\Surveillance%20EV-D68\Copie%20de%20EV_D68_CINICAL%20DATA%202022_mj13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'Tableau global RV-EV'!$D$1</c:f>
              <c:strCache>
                <c:ptCount val="1"/>
                <c:pt idx="0">
                  <c:v>EV-D68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'Tableau global RV-EV'!$A$2:$A$11</c:f>
              <c:numCache>
                <c:formatCode>General</c:formatCode>
                <c:ptCount val="10"/>
                <c:pt idx="0">
                  <c:v>31</c:v>
                </c:pt>
                <c:pt idx="1">
                  <c:v>32</c:v>
                </c:pt>
                <c:pt idx="2">
                  <c:v>33</c:v>
                </c:pt>
                <c:pt idx="3">
                  <c:v>34</c:v>
                </c:pt>
                <c:pt idx="4">
                  <c:v>35</c:v>
                </c:pt>
                <c:pt idx="5">
                  <c:v>36</c:v>
                </c:pt>
                <c:pt idx="6">
                  <c:v>37</c:v>
                </c:pt>
                <c:pt idx="7">
                  <c:v>38</c:v>
                </c:pt>
                <c:pt idx="8">
                  <c:v>39</c:v>
                </c:pt>
                <c:pt idx="9">
                  <c:v>40</c:v>
                </c:pt>
              </c:numCache>
            </c:numRef>
          </c:cat>
          <c:val>
            <c:numRef>
              <c:f>'Tableau global RV-EV'!$D$2:$D$11</c:f>
              <c:numCache>
                <c:formatCode>0.0%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3.2786885245901641E-2</c:v>
                </c:pt>
                <c:pt idx="3">
                  <c:v>0</c:v>
                </c:pt>
                <c:pt idx="4">
                  <c:v>1.8181818181818181E-2</c:v>
                </c:pt>
                <c:pt idx="5">
                  <c:v>1.6666666666666666E-2</c:v>
                </c:pt>
                <c:pt idx="6">
                  <c:v>6.097560975609756E-2</c:v>
                </c:pt>
                <c:pt idx="7">
                  <c:v>6.4935064935064929E-2</c:v>
                </c:pt>
                <c:pt idx="8">
                  <c:v>6.741573033707865E-2</c:v>
                </c:pt>
                <c:pt idx="9">
                  <c:v>4.0816326530612242E-2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F5-405D-B1F7-D457BE2991CA}"/>
            </c:ext>
          </c:extLst>
        </c:ser>
        <c:ser>
          <c:idx val="1"/>
          <c:order val="1"/>
          <c:tx>
            <c:strRef>
              <c:f>'Tableau global RV-EV'!$H$1</c:f>
              <c:strCache>
                <c:ptCount val="1"/>
                <c:pt idx="0">
                  <c:v>EV/RV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'Tableau global RV-EV'!$A$2:$A$11</c:f>
              <c:numCache>
                <c:formatCode>General</c:formatCode>
                <c:ptCount val="10"/>
                <c:pt idx="0">
                  <c:v>31</c:v>
                </c:pt>
                <c:pt idx="1">
                  <c:v>32</c:v>
                </c:pt>
                <c:pt idx="2">
                  <c:v>33</c:v>
                </c:pt>
                <c:pt idx="3">
                  <c:v>34</c:v>
                </c:pt>
                <c:pt idx="4">
                  <c:v>35</c:v>
                </c:pt>
                <c:pt idx="5">
                  <c:v>36</c:v>
                </c:pt>
                <c:pt idx="6">
                  <c:v>37</c:v>
                </c:pt>
                <c:pt idx="7">
                  <c:v>38</c:v>
                </c:pt>
                <c:pt idx="8">
                  <c:v>39</c:v>
                </c:pt>
                <c:pt idx="9">
                  <c:v>40</c:v>
                </c:pt>
              </c:numCache>
            </c:numRef>
          </c:cat>
          <c:val>
            <c:numRef>
              <c:f>'Tableau global RV-EV'!$H$2:$H$11</c:f>
              <c:numCache>
                <c:formatCode>0.0%</c:formatCode>
                <c:ptCount val="10"/>
                <c:pt idx="0">
                  <c:v>0.1076923076923077</c:v>
                </c:pt>
                <c:pt idx="1">
                  <c:v>7.2727272727272724E-2</c:v>
                </c:pt>
                <c:pt idx="2">
                  <c:v>0.13461538461538461</c:v>
                </c:pt>
                <c:pt idx="3">
                  <c:v>9.5238095238095233E-2</c:v>
                </c:pt>
                <c:pt idx="4">
                  <c:v>0.13953488372093023</c:v>
                </c:pt>
                <c:pt idx="5">
                  <c:v>0.30612244897959184</c:v>
                </c:pt>
                <c:pt idx="6">
                  <c:v>0.42465753424657532</c:v>
                </c:pt>
                <c:pt idx="7">
                  <c:v>0.39130434782608697</c:v>
                </c:pt>
                <c:pt idx="8">
                  <c:v>0.50602409638554213</c:v>
                </c:pt>
                <c:pt idx="9">
                  <c:v>0.41025641025641024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F5-405D-B1F7-D457BE299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9107336"/>
        <c:axId val="519108512"/>
      </c:barChart>
      <c:catAx>
        <c:axId val="519107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numéro de semaine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9108512"/>
        <c:crosses val="autoZero"/>
        <c:auto val="1"/>
        <c:lblAlgn val="ctr"/>
        <c:lblOffset val="100"/>
        <c:noMultiLvlLbl val="0"/>
      </c:catAx>
      <c:valAx>
        <c:axId val="51910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100"/>
                  <a:t>% de prélèvements positifs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0.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9107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1736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SCHUFFENECKER, Isabelle</dc:creator>
  <cp:keywords/>
  <dc:description/>
  <cp:lastModifiedBy>SCHUFFENECKER, Isabelle</cp:lastModifiedBy>
  <cp:revision>3</cp:revision>
  <dcterms:created xsi:type="dcterms:W3CDTF">2022-10-14T12:42:00Z</dcterms:created>
  <dcterms:modified xsi:type="dcterms:W3CDTF">2022-10-14T15:36:00Z</dcterms:modified>
</cp:coreProperties>
</file>